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pPr>
              <w:spacing w:after="0"/>
            </w:pPr>
            <w:r>
              <w:rPr>
                <w:rFonts w:ascii="Arial" w:hAnsi="Arial"/>
                <w:b w:val="0"/>
                <w:i w:val="0"/>
                <w:color w:val="5E6670"/>
                <w:sz w:val="16"/>
              </w:rPr>
              <w:t>Office of Quality and Transitions of Care</w:t>
            </w:r>
          </w:p>
          <w:p>
            <w:pPr>
              <w:spacing w:after="0"/>
            </w:pPr>
            <w:r>
              <w:rPr>
                <w:rFonts w:ascii="Arial" w:hAnsi="Arial"/>
                <w:b w:val="0"/>
                <w:i w:val="0"/>
                <w:color w:val="5E6670"/>
                <w:sz w:val="16"/>
              </w:rPr>
              <w:t>5 Harbor Crest Way, Bridgehollow, PA 15211  |  Main: (412) 555-0143  |  Fax: (412) 555-0144</w:t>
            </w:r>
          </w:p>
        </w:tc>
        <w:tc>
          <w:tcPr>
            <w:tcW w:type="dxa" w:w="5184"/>
          </w:tcPr>
          <w:p>
            <w:pPr>
              <w:jc w:val="right"/>
            </w:pPr>
            <w:r>
              <w:rPr>
                <w:rFonts w:ascii="Arial" w:hAnsi="Arial"/>
                <w:b/>
                <w:i w:val="0"/>
                <w:color w:val="4472C4"/>
                <w:sz w:val="17"/>
              </w:rPr>
              <w:t>Confidential</w:t>
            </w:r>
          </w:p>
          <w:p>
            <w:pPr>
              <w:spacing w:after="0"/>
              <w:jc w:val="right"/>
            </w:pPr>
            <w:r>
              <w:rPr>
                <w:rFonts w:ascii="Arial" w:hAnsi="Arial"/>
                <w:b w:val="0"/>
                <w:i w:val="0"/>
                <w:color w:val="5E6670"/>
                <w:sz w:val="16"/>
              </w:rPr>
              <w:t>Internal Memorandum</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color="auto" w:fill="4472C4"/>
          </w:tcPr>
          <w:p>
            <w:pPr>
              <w:spacing w:before="0" w:after="0"/>
            </w:pPr>
            <w:r>
              <w:rPr>
                <w:rFonts w:ascii="Arial" w:hAnsi="Arial"/>
                <w:b w:val="0"/>
                <w:i w:val="0"/>
                <w:color w:val="4472C4"/>
                <w:sz w:val="2"/>
              </w:rPr>
              <w:t xml:space="preserve"> </w:t>
            </w: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Pr>
          <w:p>
            <w:pPr>
              <w:jc w:val="right"/>
            </w:pPr>
            <w:r>
              <w:rPr>
                <w:rFonts w:ascii="Arial" w:hAnsi="Arial"/>
                <w:b/>
                <w:i w:val="0"/>
                <w:color w:val="FFFFFF"/>
                <w:sz w:val="20"/>
              </w:rPr>
              <w:t xml:space="preserve">MRN KM-6427819  </w:t>
            </w:r>
          </w:p>
        </w:tc>
      </w:tr>
      <w:tr>
        <w:tc>
          <w:tcPr>
            <w:tcW w:type="dxa" w:w="2592"/>
            <w:shd w:val="clear" w:color="auto" w:fill="EDF2FA"/>
          </w:tcPr>
          <w:p>
            <w:r>
              <w:rPr>
                <w:rFonts w:ascii="Arial" w:hAnsi="Arial"/>
                <w:b/>
                <w:i w:val="0"/>
                <w:color w:val="5E6670"/>
                <w:sz w:val="14"/>
              </w:rPr>
              <w:t>Date / Anchor</w:t>
            </w:r>
            <w:r>
              <w:br/>
            </w:r>
            <w:r>
              <w:rPr>
                <w:rFonts w:ascii="Arial" w:hAnsi="Arial"/>
                <w:b w:val="0"/>
                <w:i w:val="0"/>
                <w:color w:val="232830"/>
                <w:sz w:val="16"/>
              </w:rPr>
              <w:t>06/23/2026 / +30 day from planned discharge</w:t>
            </w:r>
          </w:p>
        </w:tc>
        <w:tc>
          <w:tcPr>
            <w:tcW w:type="dxa" w:w="2592"/>
            <w:shd w:val="clear" w:color="auto" w:fill="EDF2FA"/>
          </w:tcPr>
          <w:p>
            <w:r>
              <w:rPr>
                <w:rFonts w:ascii="Arial" w:hAnsi="Arial"/>
                <w:b/>
                <w:i w:val="0"/>
                <w:color w:val="5E6670"/>
                <w:sz w:val="14"/>
              </w:rPr>
              <w:t>Source</w:t>
            </w:r>
            <w:r>
              <w:br/>
            </w:r>
            <w:r>
              <w:rPr>
                <w:rFonts w:ascii="Arial" w:hAnsi="Arial"/>
                <w:b w:val="0"/>
                <w:i w:val="0"/>
                <w:color w:val="232830"/>
                <w:sz w:val="16"/>
              </w:rPr>
              <w:t>Halden Orsavic, MD / Quality and Transitions</w:t>
            </w:r>
          </w:p>
        </w:tc>
        <w:tc>
          <w:tcPr>
            <w:tcW w:type="dxa" w:w="2592"/>
            <w:shd w:val="clear" w:color="auto" w:fill="EDF2FA"/>
          </w:tcPr>
          <w:p>
            <w:r>
              <w:rPr>
                <w:rFonts w:ascii="Arial" w:hAnsi="Arial"/>
                <w:b/>
                <w:i w:val="0"/>
                <w:color w:val="5E6670"/>
                <w:sz w:val="14"/>
              </w:rPr>
              <w:t>Index encounter</w:t>
            </w:r>
            <w:r>
              <w:br/>
            </w:r>
            <w:r>
              <w:rPr>
                <w:rFonts w:ascii="Arial" w:hAnsi="Arial"/>
                <w:b w:val="0"/>
                <w:i w:val="0"/>
                <w:color w:val="232830"/>
                <w:sz w:val="16"/>
              </w:rPr>
              <w:t>Hospital Medicine 05/18/2026-05/24/2026</w:t>
            </w:r>
          </w:p>
        </w:tc>
        <w:tc>
          <w:tcPr>
            <w:tcW w:type="dxa" w:w="2592"/>
            <w:shd w:val="clear" w:color="auto" w:fill="EDF2FA"/>
          </w:tcPr>
          <w:p>
            <w:r>
              <w:rPr>
                <w:rFonts w:ascii="Arial" w:hAnsi="Arial"/>
                <w:b/>
                <w:i w:val="0"/>
                <w:color w:val="5E6670"/>
                <w:sz w:val="14"/>
              </w:rPr>
              <w:t>Document</w:t>
            </w:r>
            <w:r>
              <w:br/>
            </w:r>
            <w:r>
              <w:rPr>
                <w:rFonts w:ascii="Arial" w:hAnsi="Arial"/>
                <w:b w:val="0"/>
                <w:i w:val="0"/>
                <w:color w:val="232830"/>
                <w:sz w:val="16"/>
              </w:rPr>
              <w:t>Retrospective readmission-risk review request</w:t>
            </w:r>
          </w:p>
        </w:tc>
      </w:tr>
    </w:tbl>
    <w:p/>
    <w:p>
      <w:pPr>
        <w:spacing w:after="40"/>
      </w:pPr>
      <w:r>
        <w:rPr>
          <w:rFonts w:ascii="Arial" w:hAnsi="Arial"/>
          <w:b/>
          <w:i w:val="0"/>
          <w:color w:val="1F3864"/>
          <w:sz w:val="28"/>
        </w:rPr>
        <w:t>RETROSPECTIVE READMISSION-RISK REVIEW REQUEST</w:t>
      </w:r>
    </w:p>
    <w:p>
      <w:pPr>
        <w:spacing w:after="120"/>
      </w:pPr>
      <w:r>
        <w:rPr>
          <w:rFonts w:ascii="Arial" w:hAnsi="Arial"/>
          <w:b w:val="0"/>
          <w:i w:val="0"/>
          <w:color w:val="5E6670"/>
          <w:sz w:val="16"/>
        </w:rPr>
        <w:t>Author: Halden Orsavic, MD / Quality and Transitions of Care Reviewer  |  Department: Office of Quality and Transitions of Care  |  Date issued: 06/23/2026  |  Status: Electronically signed</w:t>
      </w:r>
    </w:p>
    <w:p>
      <w:pPr>
        <w:spacing w:before="180" w:after="60"/>
        <w:pBdr>
          <w:bottom w:val="single" w:sz="6" w:color="C9D4EA" w:space="2"/>
        </w:pBdr>
      </w:pPr>
      <w:r>
        <w:rPr>
          <w:rFonts w:ascii="Arial" w:hAnsi="Arial"/>
          <w:b/>
          <w:i w:val="0"/>
          <w:color w:val="4472C4"/>
          <w:sz w:val="20"/>
        </w:rPr>
        <w:t>ROUTING</w:t>
      </w:r>
    </w:p>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2448"/>
          </w:tcPr>
          <w:p>
            <w:pPr>
              <w:spacing w:after="40"/>
            </w:pPr>
            <w:r>
              <w:rPr>
                <w:rFonts w:ascii="Arial" w:hAnsi="Arial"/>
                <w:b/>
                <w:i w:val="0"/>
                <w:color w:val="5E6670"/>
                <w:sz w:val="18"/>
              </w:rPr>
              <w:t>Date issued</w:t>
            </w:r>
          </w:p>
        </w:tc>
        <w:tc>
          <w:tcPr>
            <w:tcW w:type="dxa" w:w="7920"/>
          </w:tcPr>
          <w:p>
            <w:pPr>
              <w:spacing w:after="40"/>
            </w:pPr>
            <w:r>
              <w:t>06/23/2026 (+30 day anchor from planned discharge 05/24/2026)</w:t>
            </w:r>
          </w:p>
        </w:tc>
      </w:tr>
      <w:tr>
        <w:tc>
          <w:tcPr>
            <w:tcW w:type="dxa" w:w="2448"/>
          </w:tcPr>
          <w:p>
            <w:pPr>
              <w:spacing w:after="40"/>
            </w:pPr>
            <w:r>
              <w:rPr>
                <w:rFonts w:ascii="Arial" w:hAnsi="Arial"/>
                <w:b/>
                <w:i w:val="0"/>
                <w:color w:val="5E6670"/>
                <w:sz w:val="18"/>
              </w:rPr>
              <w:t>Patient</w:t>
            </w:r>
          </w:p>
        </w:tc>
        <w:tc>
          <w:tcPr>
            <w:tcW w:type="dxa" w:w="7920"/>
          </w:tcPr>
          <w:p>
            <w:pPr>
              <w:spacing w:after="40"/>
            </w:pPr>
            <w:r>
              <w:rPr>
                <w:rFonts w:ascii="Arial" w:hAnsi="Arial"/>
                <w:b w:val="0"/>
                <w:i w:val="0"/>
                <w:color w:val="232830"/>
                <w:sz w:val="18"/>
              </w:rPr>
              <w:t>Korvin Merrow, DOB 02/18/1964, MRN KM-6427819</w:t>
            </w:r>
          </w:p>
        </w:tc>
      </w:tr>
      <w:tr>
        <w:tc>
          <w:tcPr>
            <w:tcW w:type="dxa" w:w="2448"/>
          </w:tcPr>
          <w:p>
            <w:pPr>
              <w:spacing w:after="40"/>
            </w:pPr>
            <w:r>
              <w:rPr>
                <w:rFonts w:ascii="Arial" w:hAnsi="Arial"/>
                <w:b/>
                <w:i w:val="0"/>
                <w:color w:val="5E6670"/>
                <w:sz w:val="18"/>
              </w:rPr>
              <w:t>Index encounter</w:t>
            </w:r>
          </w:p>
        </w:tc>
        <w:tc>
          <w:tcPr>
            <w:tcW w:type="dxa" w:w="7920"/>
          </w:tcPr>
          <w:p>
            <w:pPr>
              <w:spacing w:after="40"/>
            </w:pPr>
            <w:r>
              <w:t>Hospital Medicine admission 05/18/2026 through planned discharge 05/24/2026</w:t>
            </w:r>
          </w:p>
        </w:tc>
      </w:tr>
      <w:tr>
        <w:tc>
          <w:tcPr>
            <w:tcW w:type="dxa" w:w="2448"/>
          </w:tcPr>
          <w:p>
            <w:pPr>
              <w:spacing w:after="40"/>
            </w:pPr>
            <w:r>
              <w:rPr>
                <w:rFonts w:ascii="Arial" w:hAnsi="Arial"/>
                <w:b/>
                <w:i w:val="0"/>
                <w:color w:val="5E6670"/>
                <w:sz w:val="18"/>
              </w:rPr>
              <w:t>Requestor</w:t>
            </w:r>
          </w:p>
        </w:tc>
        <w:tc>
          <w:tcPr>
            <w:tcW w:type="dxa" w:w="7920"/>
          </w:tcPr>
          <w:p>
            <w:pPr>
              <w:spacing w:after="40"/>
            </w:pPr>
            <w:r>
              <w:rPr>
                <w:rFonts w:ascii="Arial" w:hAnsi="Arial"/>
                <w:b w:val="0"/>
                <w:i w:val="0"/>
                <w:color w:val="232830"/>
                <w:sz w:val="18"/>
              </w:rPr>
              <w:t>Halden Orsavic, MD - Quality and Transitions of Care Reviewer, Mercy Vale Regional Medical Center</w:t>
            </w:r>
          </w:p>
        </w:tc>
      </w:tr>
      <w:tr>
        <w:tc>
          <w:tcPr>
            <w:tcW w:type="dxa" w:w="2448"/>
          </w:tcPr>
          <w:p>
            <w:pPr>
              <w:spacing w:after="40"/>
            </w:pPr>
            <w:r>
              <w:rPr>
                <w:rFonts w:ascii="Arial" w:hAnsi="Arial"/>
                <w:b/>
                <w:i w:val="0"/>
                <w:color w:val="5E6670"/>
                <w:sz w:val="18"/>
              </w:rPr>
              <w:t>Routed to</w:t>
            </w:r>
          </w:p>
        </w:tc>
        <w:tc>
          <w:tcPr>
            <w:tcW w:type="dxa" w:w="7920"/>
          </w:tcPr>
          <w:p>
            <w:pPr>
              <w:spacing w:after="40"/>
            </w:pPr>
            <w:r>
              <w:rPr>
                <w:rFonts w:ascii="Arial" w:hAnsi="Arial"/>
                <w:b w:val="0"/>
                <w:i w:val="0"/>
                <w:color w:val="232830"/>
                <w:sz w:val="18"/>
              </w:rPr>
              <w:t>Assigned Patient-Safety / Readmission-Risk Reviewer (TBA)</w:t>
            </w:r>
          </w:p>
        </w:tc>
      </w:tr>
      <w:tr>
        <w:tc>
          <w:tcPr>
            <w:tcW w:type="dxa" w:w="2448"/>
          </w:tcPr>
          <w:p>
            <w:pPr>
              <w:spacing w:after="40"/>
            </w:pPr>
            <w:r>
              <w:rPr>
                <w:rFonts w:ascii="Arial" w:hAnsi="Arial"/>
                <w:b/>
                <w:i w:val="0"/>
                <w:color w:val="5E6670"/>
                <w:sz w:val="18"/>
              </w:rPr>
              <w:t>Document class</w:t>
            </w:r>
          </w:p>
        </w:tc>
        <w:tc>
          <w:tcPr>
            <w:tcW w:type="dxa" w:w="7920"/>
          </w:tcPr>
          <w:p>
            <w:pPr>
              <w:spacing w:after="40"/>
            </w:pPr>
            <w:r>
              <w:rPr>
                <w:rFonts w:ascii="Arial" w:hAnsi="Arial"/>
                <w:b w:val="0"/>
                <w:i w:val="0"/>
                <w:color w:val="232830"/>
                <w:sz w:val="18"/>
              </w:rPr>
              <w:t>Quality and safety review request - retrospective</w:t>
            </w:r>
          </w:p>
        </w:tc>
      </w:tr>
    </w:tbl>
    <w:p>
      <w:pPr>
        <w:spacing w:before="180" w:after="60"/>
        <w:pBdr>
          <w:bottom w:val="single" w:sz="6" w:color="C9D4EA" w:space="2"/>
        </w:pBdr>
      </w:pPr>
      <w:r>
        <w:rPr>
          <w:rFonts w:ascii="Arial" w:hAnsi="Arial"/>
          <w:b/>
          <w:i w:val="0"/>
          <w:color w:val="4472C4"/>
          <w:sz w:val="20"/>
        </w:rPr>
        <w:t>1. PURPOSE</w:t>
      </w:r>
    </w:p>
    <w:p>
      <w:pPr>
        <w:spacing w:after="80"/>
      </w:pPr>
      <w:r>
        <w:rPr>
          <w:rFonts w:ascii="Arial" w:hAnsi="Arial"/>
          <w:b w:val="0"/>
          <w:i w:val="0"/>
          <w:color w:val="232830"/>
          <w:sz w:val="19"/>
        </w:rPr>
        <w:t xml:space="preserve">This memo requests a </w:t>
      </w:r>
      <w:r>
        <w:rPr>
          <w:rFonts w:ascii="Arial" w:hAnsi="Arial"/>
          <w:b/>
          <w:i w:val="0"/>
          <w:color w:val="232830"/>
          <w:sz w:val="19"/>
        </w:rPr>
        <w:t>retrospective</w:t>
      </w:r>
      <w:r>
        <w:rPr>
          <w:rFonts w:ascii="Arial" w:hAnsi="Arial"/>
          <w:b w:val="0"/>
          <w:i w:val="0"/>
          <w:color w:val="232830"/>
          <w:sz w:val="19"/>
        </w:rPr>
        <w:t xml:space="preserve"> readmission risk stratification for Korvin Merrow, anchored at the +30 day mark from planned discharge. The reviewer is asked to organize findings by risk domain and to recommend mitigations that could be applied prospectively to similar transitions of care.</w:t>
      </w:r>
    </w:p>
    <w:p>
      <w:pPr>
        <w:spacing w:before="180" w:after="60"/>
        <w:pBdr>
          <w:bottom w:val="single" w:sz="6" w:color="C9D4EA" w:space="2"/>
        </w:pBdr>
      </w:pPr>
      <w:r>
        <w:rPr>
          <w:rFonts w:ascii="Arial" w:hAnsi="Arial"/>
          <w:b/>
          <w:i w:val="0"/>
          <w:color w:val="4472C4"/>
          <w:sz w:val="20"/>
        </w:rPr>
        <w:t>2. RECORD SCOPE AND CRITICAL CONSTRAINT</w:t>
      </w:r>
    </w:p>
    <w:p>
      <w:pPr>
        <w:spacing w:after="80"/>
      </w:pPr>
      <w:r>
        <w:t>The reviewer's source corpus is limited to the inpatient chart record from the 05/18/2026 ED presentation through the 05/23/2026 18:00 documentation endpoint.</w:t>
      </w:r>
    </w:p>
    <w:p>
      <w:pPr>
        <w:spacing w:after="80"/>
      </w:pPr>
      <w:r>
        <w:t>There is no post-discharge file. No outpatient follow-up note, no nursing call-back log, no pharmacy contact, and no encounter data exist after 18:00 on 05/23/2026.</w:t>
      </w:r>
    </w:p>
    <w:p>
      <w:pPr>
        <w:spacing w:after="80"/>
      </w:pPr>
      <w:r>
        <w:t>No post-discharge documentation has been received; analysis should remain retrospective and confined to the available inpatient chart record.</w:t>
      </w:r>
    </w:p>
    <w:p>
      <w:pPr>
        <w:spacing w:before="180" w:after="60"/>
        <w:pBdr>
          <w:bottom w:val="single" w:sz="6" w:color="C9D4EA" w:space="2"/>
        </w:pBdr>
      </w:pPr>
      <w:r>
        <w:rPr>
          <w:rFonts w:ascii="Arial" w:hAnsi="Arial"/>
          <w:b/>
          <w:i w:val="0"/>
          <w:color w:val="4472C4"/>
          <w:sz w:val="20"/>
        </w:rPr>
        <w:t>3. STRUCTURE REQUESTED</w:t>
      </w:r>
    </w:p>
    <w:p>
      <w:pPr>
        <w:spacing w:after="80"/>
      </w:pPr>
      <w:r>
        <w:t>For each of the eight risk domains below, the reviewer should (a) name the domain, (b) cite the supporting evidence from the inpatient chart documents, by document name and clinician, (c) propose mitigations consistent with the chart, and (d) preserve unresolved questions rather than collapse them.</w:t>
      </w:r>
    </w:p>
    <w:p>
      <w:pPr>
        <w:spacing w:after="60"/>
      </w:pPr>
      <w:r>
        <w:t>1. Cardiovascular and renal risk.</w:t>
      </w:r>
    </w:p>
    <w:p>
      <w:pPr>
        <w:spacing w:after="60"/>
      </w:pPr>
      <w:r>
        <w:t>2. Endocrine and steroid-management risk.</w:t>
      </w:r>
    </w:p>
    <w:p>
      <w:pPr>
        <w:spacing w:after="60"/>
      </w:pPr>
      <w:r>
        <w:t>3. Medication-safety risk.</w:t>
      </w:r>
    </w:p>
    <w:p>
      <w:pPr>
        <w:spacing w:after="60"/>
      </w:pPr>
      <w:r>
        <w:t>4. Self-care and caregiver-capacity risk.</w:t>
      </w:r>
    </w:p>
    <w:p>
      <w:pPr>
        <w:spacing w:after="60"/>
      </w:pPr>
      <w:r>
        <w:t>5. Functional and mobility risk.</w:t>
      </w:r>
    </w:p>
    <w:p>
      <w:pPr>
        <w:spacing w:after="60"/>
      </w:pPr>
      <w:r>
        <w:t>6. Care-coordination and transition risk.</w:t>
      </w:r>
    </w:p>
    <w:p>
      <w:pPr>
        <w:spacing w:after="60"/>
      </w:pPr>
      <w:r>
        <w:t>7. Post-discharge monitoring continuity.</w:t>
      </w:r>
    </w:p>
    <w:p>
      <w:pPr>
        <w:spacing w:after="60"/>
      </w:pPr>
      <w:r>
        <w:t>8. Inter-service coordination risk.</w:t>
      </w:r>
    </w:p>
    <w:p>
      <w:pPr>
        <w:spacing w:before="80" w:after="80"/>
      </w:pPr>
      <w:r>
        <w:t>For each domain, cite the supporting evidence from the inpatient chart documents by document name and clinician.</w:t>
      </w:r>
    </w:p>
    <w:p>
      <w:pPr>
        <w:spacing w:before="180" w:after="60"/>
        <w:pBdr>
          <w:bottom w:val="single" w:sz="6" w:color="C9D4EA" w:space="2"/>
        </w:pBdr>
      </w:pPr>
      <w:r>
        <w:rPr>
          <w:rFonts w:ascii="Arial" w:hAnsi="Arial"/>
          <w:b/>
          <w:i w:val="0"/>
          <w:color w:val="4472C4"/>
          <w:sz w:val="20"/>
        </w:rPr>
        <w:t>4. BOUNDARIES</w:t>
      </w:r>
    </w:p>
    <w:p>
      <w:pPr>
        <w:spacing w:after="80"/>
      </w:pPr>
      <w:r>
        <w:t>This is a quality and safety review memo. It is not an RCA, not a blame narrative, and not a graded outcome assessment. The reviewer should not narrate what "did" happen after 18:00 on 05/23/2026.</w:t>
      </w:r>
    </w:p>
    <w:p>
      <w:pPr>
        <w:spacing w:after="80"/>
      </w:pPr>
      <w:r>
        <w:rPr>
          <w:rFonts w:ascii="Arial" w:hAnsi="Arial"/>
          <w:b w:val="0"/>
          <w:i w:val="0"/>
          <w:color w:val="232830"/>
          <w:sz w:val="19"/>
        </w:rPr>
        <w:t>Direct questions to the Office of Quality and Transitions of Care, ext. 0162.</w:t>
      </w:r>
    </w:p>
    <w:p>
      <w:pPr>
        <w:spacing w:before="200"/>
        <w:pBdr>
          <w:top w:val="single" w:sz="4" w:color="C9D4EA" w:space="4"/>
        </w:pBdr>
      </w:pPr>
      <w:r>
        <w:rPr>
          <w:rFonts w:ascii="Arial" w:hAnsi="Arial"/>
          <w:b w:val="0"/>
          <w:i/>
          <w:color w:val="5E6670"/>
          <w:sz w:val="18"/>
        </w:rPr>
        <w:t>Electronically signed by Halden Orsavic, MD — Quality and Transitions of Care Reviewer</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Retrospective readmission-risk review request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