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559"/>
        <w:gridCol w:w="2809"/>
      </w:tblGrid>
      <w:tr>
        <w:tc>
          <w:tcPr>
            <w:tcW w:type="dxa" w:w="7559"/>
            <w:tcMar>
              <w:top w:w="20" w:type="dxa"/>
              <w:bottom w:w="20" w:type="dxa"/>
              <w:left w:w="0" w:type="dxa"/>
              <w:right w:w="80" w:type="dxa"/>
            </w:tcMar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5E6670"/>
                <w:sz w:val="18"/>
              </w:rPr>
              <w:t>Clinical Data / Laboratory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5 Harbor Crest Way, Bridgehollow, PA 15211  |  Main (412) 555-0143</w:t>
            </w:r>
          </w:p>
        </w:tc>
        <w:tc>
          <w:tcPr>
            <w:tcW w:type="dxa" w:w="2809"/>
            <w:tcMar>
              <w:top w:w="20" w:type="dxa"/>
              <w:bottom w:w="20" w:type="dxa"/>
              <w:left w:w="80" w:type="dxa"/>
              <w:right w:w="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Status: Signed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65"/>
        <w:gridCol w:w="2677"/>
        <w:gridCol w:w="2362"/>
        <w:gridCol w:w="1864"/>
      </w:tblGrid>
      <w:tr>
        <w:tc>
          <w:tcPr>
            <w:tcW w:type="dxa" w:w="7776"/>
            <w:gridSpan w:val="3"/>
            <w:shd w:val="clear" w:color="auto" w:fill="4472C4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>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color="auto" w:fill="4472C4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MRN KM-6427819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i w:val="0"/>
                <w:color w:val="FFFFFF"/>
                <w:sz w:val="16"/>
              </w:rPr>
              <w:t>FIN KM-2026-051877</w:t>
            </w:r>
          </w:p>
        </w:tc>
      </w:tr>
      <w:tr>
        <w:tc>
          <w:tcPr>
            <w:tcW w:type="dxa" w:w="2592"/>
            <w:shd w:val="clear" w:color="auto" w:fill="EDF2F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HD1–HD6 through 05/23/2026 18:00</w:t>
            </w:r>
          </w:p>
        </w:tc>
        <w:tc>
          <w:tcPr>
            <w:tcW w:type="dxa" w:w="2592"/>
            <w:shd w:val="clear" w:color="auto" w:fill="EDF2F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Laboratory and vital-sign data source</w:t>
            </w:r>
          </w:p>
        </w:tc>
        <w:tc>
          <w:tcPr>
            <w:tcW w:type="dxa" w:w="2592"/>
            <w:shd w:val="clear" w:color="auto" w:fill="EDF2F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Lisinopril (cough)</w:t>
            </w:r>
          </w:p>
        </w:tc>
        <w:tc>
          <w:tcPr>
            <w:tcW w:type="dxa" w:w="2592"/>
            <w:shd w:val="clear" w:color="auto" w:fill="EDF2FA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5E6670"/>
                <w:sz w:val="14"/>
              </w:rPr>
              <w:t>LOCATION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Unit 5 West Medical, Room 5W-318</w:t>
            </w:r>
          </w:p>
        </w:tc>
      </w:tr>
    </w:tbl>
    <w:p>
      <w:pPr>
        <w:spacing w:after="120"/>
      </w:pPr>
    </w:p>
    <w:p>
      <w:pPr>
        <w:spacing w:before="40" w:after="40"/>
      </w:pPr>
      <w:r>
        <w:rPr>
          <w:rFonts w:ascii="Arial" w:hAnsi="Arial"/>
          <w:b/>
          <w:i w:val="0"/>
          <w:color w:val="1F3864"/>
          <w:sz w:val="28"/>
        </w:rPr>
        <w:t>OBJECTIVE RENAL / INFECTION / HEMODYNAMIC TREND SUMMARY</w:t>
      </w:r>
    </w:p>
    <w:p>
      <w:pPr>
        <w:spacing w:after="20"/>
      </w:pPr>
      <w:r>
        <w:rPr>
          <w:rFonts w:ascii="Arial" w:hAnsi="Arial"/>
          <w:b/>
          <w:i w:val="0"/>
          <w:color w:val="5E6670"/>
          <w:sz w:val="18"/>
        </w:rPr>
        <w:t xml:space="preserve">Author: </w:t>
      </w:r>
      <w:r>
        <w:rPr>
          <w:rFonts w:ascii="Arial" w:hAnsi="Arial"/>
          <w:b w:val="0"/>
          <w:i w:val="0"/>
          <w:color w:val="232830"/>
          <w:sz w:val="18"/>
        </w:rPr>
        <w:t>Laboratory and vital-sign data source</w:t>
      </w:r>
      <w:r>
        <w:rPr>
          <w:rFonts w:ascii="Arial" w:hAnsi="Arial"/>
          <w:b/>
          <w:i w:val="0"/>
          <w:color w:val="5E6670"/>
          <w:sz w:val="18"/>
        </w:rPr>
        <w:t xml:space="preserve">        Department: </w:t>
      </w:r>
      <w:r>
        <w:rPr>
          <w:rFonts w:ascii="Arial" w:hAnsi="Arial"/>
          <w:b w:val="0"/>
          <w:i w:val="0"/>
          <w:color w:val="232830"/>
          <w:sz w:val="18"/>
        </w:rPr>
        <w:t>Clinical Data / Laboratory</w:t>
      </w:r>
      <w:r>
        <w:rPr>
          <w:rFonts w:ascii="Arial" w:hAnsi="Arial"/>
          <w:b/>
          <w:i w:val="0"/>
          <w:color w:val="5E6670"/>
          <w:sz w:val="18"/>
        </w:rPr>
        <w:t xml:space="preserve">        Compiled: </w:t>
      </w:r>
      <w:r>
        <w:rPr>
          <w:rFonts w:ascii="Arial" w:hAnsi="Arial"/>
          <w:b w:val="0"/>
          <w:i w:val="0"/>
          <w:color w:val="232830"/>
          <w:sz w:val="18"/>
        </w:rPr>
        <w:t>05/23/2026 18:00</w:t>
      </w:r>
    </w:p>
    <w:p>
      <w:pPr>
        <w:spacing w:before="80" w:after="40"/>
      </w:pPr>
      <w:r>
        <w:rPr>
          <w:rFonts w:ascii="Arial" w:hAnsi="Arial"/>
          <w:b w:val="0"/>
          <w:i/>
          <w:color w:val="232830"/>
          <w:sz w:val="18"/>
        </w:rPr>
        <w:t>This document is a compiled objective trend source assembled from laboratory results and vital-sign documentation across HD1 through HD6. It is not a physician interpretation, a discharge summary, a medication restart authorization, or a disposition decision. It supports trend reasoning only.</w:t>
      </w:r>
    </w:p>
    <w:p>
      <w:pPr>
        <w:spacing w:before="200" w:after="80"/>
      </w:pPr>
      <w:r>
        <w:rPr>
          <w:rFonts w:ascii="Arial" w:hAnsi="Arial"/>
          <w:b/>
          <w:i w:val="0"/>
          <w:color w:val="1F3864"/>
          <w:sz w:val="20"/>
        </w:rPr>
        <w:t>BASELINE COMPARATOR ANCHORS (OUTPATIENT)</w:t>
      </w:r>
    </w:p>
    <w:p>
      <w:pPr>
        <w:spacing w:after="80"/>
      </w:pPr>
      <w:r>
        <w:rPr>
          <w:rFonts w:ascii="Arial" w:hAnsi="Arial"/>
          <w:b w:val="0"/>
          <w:i w:val="0"/>
          <w:color w:val="232830"/>
          <w:sz w:val="18"/>
        </w:rPr>
        <w:t>Reference comparators drawn from the primary care outpatient baseline summary. Baseline anchors are reference values; they are neither admission values nor discharge values.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CE5"/>
          <w:left w:val="single" w:sz="4" w:color="D6DCE5"/>
          <w:bottom w:val="single" w:sz="4" w:color="D6DCE5"/>
          <w:right w:val="single" w:sz="4" w:color="D6DCE5"/>
          <w:insideH w:val="single" w:sz="4" w:color="D6DCE5"/>
          <w:insideV w:val="single" w:sz="4" w:color="D6DCE5"/>
        </w:tblBorders>
      </w:tblPr>
      <w:tblGrid>
        <w:gridCol w:w="3780"/>
        <w:gridCol w:w="6588"/>
      </w:tblGrid>
      <w:tr>
        <w:tc>
          <w:tcPr>
            <w:tcW w:type="dxa" w:w="3780"/>
            <w:shd w:val="clear" w:color="auto" w:fill="4472C4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Comparator</w:t>
            </w:r>
          </w:p>
        </w:tc>
        <w:tc>
          <w:tcPr>
            <w:tcW w:type="dxa" w:w="6588"/>
            <w:shd w:val="clear" w:color="auto" w:fill="4472C4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Outpatient baseline range</w:t>
            </w:r>
          </w:p>
        </w:tc>
      </w:tr>
      <w:tr>
        <w:tc>
          <w:tcPr>
            <w:tcW w:type="dxa" w:w="3780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830"/>
                <w:sz w:val="17"/>
              </w:rPr>
              <w:t>Creatinine</w:t>
            </w:r>
          </w:p>
        </w:tc>
        <w:tc>
          <w:tcPr>
            <w:tcW w:type="dxa" w:w="6588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1.6–1.8 mg/dL</w:t>
            </w:r>
          </w:p>
        </w:tc>
      </w:tr>
      <w:tr>
        <w:tc>
          <w:tcPr>
            <w:tcW w:type="dxa" w:w="3780"/>
            <w:shd w:val="clear" w:color="auto" w:fill="EDF2F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830"/>
                <w:sz w:val="17"/>
              </w:rPr>
              <w:t>eGFR</w:t>
            </w:r>
          </w:p>
        </w:tc>
        <w:tc>
          <w:tcPr>
            <w:tcW w:type="dxa" w:w="6588"/>
            <w:shd w:val="clear" w:color="auto" w:fill="EDF2F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40–50 mL/min/1.73 m²</w:t>
            </w:r>
          </w:p>
        </w:tc>
      </w:tr>
      <w:tr>
        <w:tc>
          <w:tcPr>
            <w:tcW w:type="dxa" w:w="3780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830"/>
                <w:sz w:val="17"/>
              </w:rPr>
              <w:t>Hemoglobin</w:t>
            </w:r>
          </w:p>
        </w:tc>
        <w:tc>
          <w:tcPr>
            <w:tcW w:type="dxa" w:w="6588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10.5–11.5 g/dL</w:t>
            </w:r>
          </w:p>
        </w:tc>
      </w:tr>
      <w:tr>
        <w:tc>
          <w:tcPr>
            <w:tcW w:type="dxa" w:w="3780"/>
            <w:shd w:val="clear" w:color="auto" w:fill="EDF2F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830"/>
                <w:sz w:val="17"/>
              </w:rPr>
              <w:t>Hemoglobin A1c</w:t>
            </w:r>
          </w:p>
        </w:tc>
        <w:tc>
          <w:tcPr>
            <w:tcW w:type="dxa" w:w="6588"/>
            <w:shd w:val="clear" w:color="auto" w:fill="EDF2F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7.6–8.2 %</w:t>
            </w:r>
          </w:p>
        </w:tc>
      </w:tr>
      <w:tr>
        <w:tc>
          <w:tcPr>
            <w:tcW w:type="dxa" w:w="3780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232830"/>
                <w:sz w:val="17"/>
              </w:rPr>
              <w:t>Dry weight</w:t>
            </w:r>
          </w:p>
        </w:tc>
        <w:tc>
          <w:tcPr>
            <w:tcW w:type="dxa" w:w="6588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7"/>
              </w:rPr>
              <w:t>approximately 97 kg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hAnsi="Arial"/>
          <w:b/>
          <w:i w:val="0"/>
          <w:color w:val="1F3864"/>
          <w:sz w:val="20"/>
        </w:rPr>
        <w:t>INPATIENT DAILY TREND TABLE — HD1 THROUGH HD6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6DCE5"/>
          <w:left w:val="single" w:sz="4" w:color="D6DCE5"/>
          <w:bottom w:val="single" w:sz="4" w:color="D6DCE5"/>
          <w:right w:val="single" w:sz="4" w:color="D6DCE5"/>
          <w:insideH w:val="single" w:sz="4" w:color="D6DCE5"/>
          <w:insideV w:val="single" w:sz="4" w:color="D6DCE5"/>
        </w:tblBorders>
      </w:tblPr>
      <w:tblGrid>
        <w:gridCol w:w="661"/>
        <w:gridCol w:w="787"/>
        <w:gridCol w:w="1228"/>
        <w:gridCol w:w="1417"/>
        <w:gridCol w:w="787"/>
        <w:gridCol w:w="1102"/>
        <w:gridCol w:w="787"/>
        <w:gridCol w:w="661"/>
        <w:gridCol w:w="677"/>
        <w:gridCol w:w="677"/>
        <w:gridCol w:w="787"/>
        <w:gridCol w:w="793"/>
      </w:tblGrid>
      <w:tr>
        <w:tc>
          <w:tcPr>
            <w:tcW w:type="dxa" w:w="661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Date</w:t>
            </w:r>
          </w:p>
        </w:tc>
        <w:tc>
          <w:tcPr>
            <w:tcW w:type="dxa" w:w="78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HD</w:t>
            </w:r>
          </w:p>
        </w:tc>
        <w:tc>
          <w:tcPr>
            <w:tcW w:type="dxa" w:w="1228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Anchor</w:t>
            </w:r>
          </w:p>
        </w:tc>
        <w:tc>
          <w:tcPr>
            <w:tcW w:type="dxa" w:w="141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Temperature pattern</w:t>
            </w:r>
          </w:p>
        </w:tc>
        <w:tc>
          <w:tcPr>
            <w:tcW w:type="dxa" w:w="78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BP systolic (mmHg)</w:t>
            </w:r>
          </w:p>
        </w:tc>
        <w:tc>
          <w:tcPr>
            <w:tcW w:type="dxa" w:w="1102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BP diastolic (mmHg)</w:t>
            </w:r>
          </w:p>
        </w:tc>
        <w:tc>
          <w:tcPr>
            <w:tcW w:type="dxa" w:w="78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Creatinine (mg/dL)</w:t>
            </w:r>
          </w:p>
        </w:tc>
        <w:tc>
          <w:tcPr>
            <w:tcW w:type="dxa" w:w="661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BUN (mg/dL)</w:t>
            </w:r>
          </w:p>
        </w:tc>
        <w:tc>
          <w:tcPr>
            <w:tcW w:type="dxa" w:w="67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K+ (mmol/L)</w:t>
            </w:r>
          </w:p>
        </w:tc>
        <w:tc>
          <w:tcPr>
            <w:tcW w:type="dxa" w:w="67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WBC (k/µL)</w:t>
            </w:r>
          </w:p>
        </w:tc>
        <w:tc>
          <w:tcPr>
            <w:tcW w:type="dxa" w:w="787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Glucose (mg/dL)</w:t>
            </w:r>
          </w:p>
        </w:tc>
        <w:tc>
          <w:tcPr>
            <w:tcW w:type="dxa" w:w="793"/>
            <w:shd w:val="clear" w:color="auto" w:fill="4472C4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Intake observation</w:t>
            </w:r>
          </w:p>
        </w:tc>
      </w:tr>
      <w:tr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05/18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HD1</w:t>
            </w:r>
          </w:p>
        </w:tc>
        <w:tc>
          <w:tcPr>
            <w:tcW w:type="dxa" w:w="122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Admission / acute stabilization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Febrile earlier in course, improving after treatment started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96–110</w:t>
            </w:r>
          </w:p>
        </w:tc>
        <w:tc>
          <w:tcPr>
            <w:tcW w:type="dxa" w:w="11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56–68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2.62</w:t>
            </w:r>
          </w:p>
        </w:tc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48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5.1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15.6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180–260</w:t>
            </w:r>
          </w:p>
        </w:tc>
        <w:tc>
          <w:tcPr>
            <w:tcW w:type="dxa" w:w="793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Poor intake; clinically volume vulnerable</w:t>
            </w:r>
          </w:p>
        </w:tc>
      </w:tr>
      <w:tr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05/19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HD2</w:t>
            </w:r>
          </w:p>
        </w:tc>
        <w:tc>
          <w:tcPr>
            <w:tcW w:type="dxa" w:w="1228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Early response</w:t>
            </w:r>
          </w:p>
        </w:tc>
        <w:tc>
          <w:tcPr>
            <w:tcW w:type="dxa" w:w="141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Lower fever burden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100–118</w:t>
            </w:r>
          </w:p>
        </w:tc>
        <w:tc>
          <w:tcPr>
            <w:tcW w:type="dxa" w:w="1102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separately abstracted into daily summary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2.38</w:t>
            </w:r>
          </w:p>
        </w:tc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45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4.9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13.8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170–250</w:t>
            </w:r>
          </w:p>
        </w:tc>
        <w:tc>
          <w:tcPr>
            <w:tcW w:type="dxa" w:w="793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Oral intake slightly improved</w:t>
            </w:r>
          </w:p>
        </w:tc>
      </w:tr>
      <w:tr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05/20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HD3</w:t>
            </w:r>
          </w:p>
        </w:tc>
        <w:tc>
          <w:tcPr>
            <w:tcW w:type="dxa" w:w="122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Functional concerns emerge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Afebrile or near-afebrile trend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106–124</w:t>
            </w:r>
          </w:p>
        </w:tc>
        <w:tc>
          <w:tcPr>
            <w:tcW w:type="dxa" w:w="11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separately abstracted into daily summary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2.12</w:t>
            </w:r>
          </w:p>
        </w:tc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39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4.7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11.9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160–240</w:t>
            </w:r>
          </w:p>
        </w:tc>
        <w:tc>
          <w:tcPr>
            <w:tcW w:type="dxa" w:w="793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Intake improving; fatigue persists</w:t>
            </w:r>
          </w:p>
        </w:tc>
      </w:tr>
      <w:tr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05/21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HD4</w:t>
            </w:r>
          </w:p>
        </w:tc>
        <w:tc>
          <w:tcPr>
            <w:tcW w:type="dxa" w:w="1228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t>Consultant input active; medication restart deferred</w:t>
            </w:r>
          </w:p>
        </w:tc>
        <w:tc>
          <w:tcPr>
            <w:tcW w:type="dxa" w:w="141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Afebrile trend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110–128</w:t>
            </w:r>
          </w:p>
        </w:tc>
        <w:tc>
          <w:tcPr>
            <w:tcW w:type="dxa" w:w="1102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separately abstracted into daily summary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1.98</w:t>
            </w:r>
          </w:p>
        </w:tc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35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4.6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10.8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160–270</w:t>
            </w:r>
          </w:p>
        </w:tc>
        <w:tc>
          <w:tcPr>
            <w:tcW w:type="dxa" w:w="793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Intake inconsistent across shifts</w:t>
            </w:r>
          </w:p>
        </w:tc>
      </w:tr>
      <w:tr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05/22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HD5</w:t>
            </w:r>
          </w:p>
        </w:tc>
        <w:tc>
          <w:tcPr>
            <w:tcW w:type="dxa" w:w="1228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Discharge planning becomes plausible</w:t>
            </w:r>
          </w:p>
        </w:tc>
        <w:tc>
          <w:tcPr>
            <w:tcW w:type="dxa" w:w="141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Afebrile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112–128</w:t>
            </w:r>
          </w:p>
        </w:tc>
        <w:tc>
          <w:tcPr>
            <w:tcW w:type="dxa" w:w="1102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separately abstracted into daily summary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1.86</w:t>
            </w:r>
          </w:p>
        </w:tc>
        <w:tc>
          <w:tcPr>
            <w:tcW w:type="dxa" w:w="661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31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4.5</w:t>
            </w:r>
          </w:p>
        </w:tc>
        <w:tc>
          <w:tcPr>
            <w:tcW w:type="dxa" w:w="67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9.9</w:t>
            </w:r>
          </w:p>
        </w:tc>
        <w:tc>
          <w:tcPr>
            <w:tcW w:type="dxa" w:w="787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150–260</w:t>
            </w:r>
          </w:p>
        </w:tc>
        <w:tc>
          <w:tcPr>
            <w:tcW w:type="dxa" w:w="793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Improved intake; still below usual strength</w:t>
            </w:r>
          </w:p>
        </w:tc>
      </w:tr>
      <w:tr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05/23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232830"/>
                <w:sz w:val="15"/>
              </w:rPr>
              <w:t>HD6 (pre-18:00)</w:t>
            </w:r>
          </w:p>
        </w:tc>
        <w:tc>
          <w:tcPr>
            <w:tcW w:type="dxa" w:w="1228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t>Discharge planning active</w:t>
            </w:r>
          </w:p>
        </w:tc>
        <w:tc>
          <w:tcPr>
            <w:tcW w:type="dxa" w:w="141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Afebrile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114–130</w:t>
            </w:r>
          </w:p>
        </w:tc>
        <w:tc>
          <w:tcPr>
            <w:tcW w:type="dxa" w:w="1102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Not separately abstracted into daily summary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1.80</w:t>
            </w:r>
          </w:p>
        </w:tc>
        <w:tc>
          <w:tcPr>
            <w:tcW w:type="dxa" w:w="661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29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4.4</w:t>
            </w:r>
          </w:p>
        </w:tc>
        <w:tc>
          <w:tcPr>
            <w:tcW w:type="dxa" w:w="67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9.4</w:t>
            </w:r>
          </w:p>
        </w:tc>
        <w:tc>
          <w:tcPr>
            <w:tcW w:type="dxa" w:w="787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140–250</w:t>
            </w:r>
          </w:p>
        </w:tc>
        <w:tc>
          <w:tcPr>
            <w:tcW w:type="dxa" w:w="793"/>
            <w:shd w:val="clear" w:color="auto" w:fill="EDF2FA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32830"/>
                <w:sz w:val="15"/>
              </w:rPr>
              <w:t>Intake improved; mobility reserve requires separate sources</w:t>
            </w:r>
          </w:p>
        </w:tc>
      </w:tr>
    </w:tbl>
    <w:p>
      <w:pPr>
        <w:spacing w:before="160" w:after="40"/>
      </w:pPr>
      <w:r>
        <w:rPr>
          <w:rFonts w:ascii="Arial" w:hAnsi="Arial"/>
          <w:b/>
          <w:i w:val="0"/>
          <w:color w:val="232830"/>
          <w:sz w:val="17"/>
        </w:rPr>
        <w:t>Notes on the table: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Diastolic values for HD2–HD6 were not separately abstracted into the daily trend summary; nursing observation flowsheet and the medication administration record retain shift-level vital-sign granularity.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WBC values are reported in 1000 cells/µL (k/µL).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Glucose ranges represent the spread of point-of-care and laboratory values across the calendar day, not paired pre-/post-prandial pairings.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Temperature pattern is a qualitative summary derived from charted readings; specific maximum temperatures are retained in nursing flowsheet sources.</w:t>
      </w:r>
    </w:p>
    <w:p>
      <w:pPr>
        <w:spacing w:before="200" w:after="40"/>
      </w:pPr>
      <w:r>
        <w:rPr>
          <w:rFonts w:ascii="Arial" w:hAnsi="Arial"/>
          <w:b/>
          <w:i w:val="0"/>
          <w:color w:val="1F3864"/>
          <w:sz w:val="20"/>
        </w:rPr>
        <w:t>URINARY / INFECTION DATA CONTEXT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Initial urinary findings on HD1 were concerning enough to support empiric antimicrobial treatment for suspected urinary-source infection.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Systemic inflammatory markers (WBC) trended down from 15.6 k/µL on HD1 to 9.4 k/µL by HD6.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Defervescence followed initiation of empiric therapy.</w:t>
      </w:r>
    </w:p>
    <w:p>
      <w:pPr>
        <w:pStyle w:val="ListBullet"/>
        <w:spacing w:after="0"/>
        <w:ind w:left="360"/>
      </w:pPr>
      <w:r>
        <w:t>Culture and source interpretation are not adjudicated in this table; downgrade or de-escalation reasoning is documented in the relevant consultant and hospitalist notes.</w:t>
      </w:r>
    </w:p>
    <w:p>
      <w:pPr>
        <w:spacing w:before="200" w:after="40"/>
      </w:pPr>
      <w:r>
        <w:t>CAVEATS</w:t>
      </w:r>
    </w:p>
    <w:p>
      <w:pPr>
        <w:spacing w:after="80"/>
      </w:pPr>
      <w:r>
        <w:t>This flowsheet is a trend summary only; clinical decisions require interpretation in context. A creatinine near baseline does not by itself determine readiness for HFrEF medication restart. Potassium and BP trends must be reconciled with actual medication actions and consultant timing. Dry weight is a baseline comparator, not a complete inpatient volume assessment. Culture/source interpretation is not summarized here as a definitive single-cause answer. No scheduled post-discharge monitoring plan exists at this time.</w:t>
      </w:r>
    </w:p>
    <w:p>
      <w:pPr>
        <w:spacing w:after="40"/>
      </w:pPr>
      <w:r>
        <w:rPr>
          <w:rFonts w:ascii="Arial" w:hAnsi="Arial"/>
          <w:b/>
          <w:i w:val="0"/>
          <w:color w:val="232830"/>
          <w:sz w:val="17"/>
        </w:rPr>
        <w:t>Additional limitations:</w:t>
      </w:r>
    </w:p>
    <w:p>
      <w:pPr>
        <w:pStyle w:val="ListBullet"/>
        <w:spacing w:after="0"/>
        <w:ind w:left="360"/>
      </w:pP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Steroid contribution to hemodynamic and glycemic trends is not adjudicated here.</w:t>
      </w:r>
    </w:p>
    <w:p>
      <w:pPr>
        <w:pStyle w:val="ListBullet"/>
        <w:spacing w:after="0"/>
        <w:ind w:left="360"/>
      </w:pPr>
      <w:r>
        <w:rPr>
          <w:rFonts w:ascii="Arial" w:hAnsi="Arial"/>
          <w:b w:val="0"/>
          <w:i w:val="0"/>
          <w:color w:val="232830"/>
          <w:sz w:val="17"/>
        </w:rPr>
        <w:t>Held / continued / restart decisions for chronic outpatient medications belong to the medication administration record and consultant documentation, not to this trend table.</w:t>
      </w:r>
    </w:p>
    <w:p>
      <w:pPr>
        <w:pStyle w:val="ListBullet"/>
        <w:spacing w:after="0"/>
        <w:ind w:left="360"/>
      </w:pPr>
    </w:p>
    <w:p>
      <w:pPr>
        <w:spacing w:before="280" w:after="40"/>
      </w:pPr>
      <w:r>
        <w:rPr>
          <w:rFonts w:ascii="Arial" w:hAnsi="Arial"/>
          <w:b w:val="0"/>
          <w:i/>
          <w:color w:val="5E6670"/>
          <w:sz w:val="18"/>
        </w:rPr>
        <w:t>Electronically signed by Laboratory and vital-sign data source  |  Clinical Data / Laboratory  |  05/23/2026 18:00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