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Sleep Medicine Records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b/>
                <w:i w:val="0"/>
                <w:color w:val="4472C4"/>
                <w:sz w:val="17"/>
              </w:rPr>
              <w:t>Date / Anchor</w:t>
            </w:r>
          </w:p>
          <w:p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Pre-admission provenance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/>
                <w:i w:val="0"/>
                <w:color w:val="4472C4"/>
                <w:sz w:val="17"/>
              </w:rPr>
              <w:t>Source</w:t>
            </w:r>
          </w:p>
          <w:p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Sleep Medicine Records / primary care continuity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/>
                <w:i w:val="0"/>
                <w:color w:val="4472C4"/>
                <w:sz w:val="17"/>
              </w:rPr>
              <w:t>Allergies</w:t>
            </w:r>
          </w:p>
          <w:p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Lisinopril (cough)</w:t>
            </w:r>
          </w:p>
        </w:tc>
        <w:tc>
          <w:tcPr>
            <w:tcW w:type="dxa" w:w="2592"/>
          </w:tcPr>
          <w:p>
            <w:r>
              <w:rPr>
                <w:rFonts w:ascii="Arial" w:hAnsi="Arial"/>
                <w:b/>
                <w:i w:val="0"/>
                <w:color w:val="4472C4"/>
                <w:sz w:val="17"/>
              </w:rPr>
              <w:t>Document</w:t>
            </w:r>
          </w:p>
          <w:p>
            <w:r>
              <w:rPr>
                <w:rFonts w:ascii="Arial" w:hAnsi="Arial"/>
                <w:b w:val="0"/>
                <w:i w:val="0"/>
                <w:color w:val="232830"/>
                <w:sz w:val="18"/>
              </w:rPr>
              <w:t>Remote sleep-study / OSA provenance summary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i w:val="0"/>
          <w:color w:val="1F3864"/>
          <w:sz w:val="28"/>
        </w:rPr>
        <w:t>REMOTE SLEEP-STUDY / OSA PROVENANCE SUMMARY</w:t>
      </w:r>
    </w:p>
    <w:p>
      <w:pPr>
        <w:spacing w:after="80"/>
      </w:pPr>
      <w:r>
        <w:rPr>
          <w:rFonts w:ascii="Arial" w:hAnsi="Arial"/>
          <w:b w:val="0"/>
          <w:i w:val="0"/>
          <w:color w:val="5E6670"/>
          <w:sz w:val="16"/>
        </w:rPr>
        <w:t>Department: Sleep Medicine Records  |  Pre-admission provenance  |  Status: Signed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0"/>
        </w:rPr>
        <w:t>REMOTE SLEEP HISTORY PROVENANCE</w:t>
      </w:r>
    </w:p>
    <w:p>
      <w:pPr>
        <w:spacing w:after="60"/>
      </w:pPr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pPr>
        <w:spacing w:after="60"/>
      </w:pPr>
      <w:r>
        <w:rPr>
          <w:rFonts w:ascii="Arial" w:hAnsi="Arial"/>
          <w:b w:val="0"/>
          <w:i w:val="0"/>
          <w:color w:val="232830"/>
          <w:sz w:val="19"/>
        </w:rPr>
        <w:t>Source type: historical sleep-study / primary care provenance summary.</w:t>
      </w:r>
    </w:p>
    <w:p>
      <w:pPr>
        <w:spacing w:after="60"/>
      </w:pPr>
      <w:r>
        <w:rPr>
          <w:rFonts w:ascii="Arial" w:hAnsi="Arial"/>
          <w:b w:val="0"/>
          <w:i w:val="0"/>
          <w:color w:val="232830"/>
          <w:sz w:val="19"/>
        </w:rPr>
        <w:t>A diagnostic polysomnography performed at the Mercy Vale Sleep Center on 2019-04-22 confirmed obstructive sleep apnea (ICD-10 G47.33). CPAP therapy was prescribed following the study. Home-report adherence has been documented as variable across subsequent outpatient encounters, with no in-lab CPAP titration recently on record.</w:t>
      </w:r>
    </w:p>
    <w:p>
      <w:pPr>
        <w:spacing w:before="160" w:after="40"/>
      </w:pPr>
      <w:r>
        <w:rPr>
          <w:rFonts w:ascii="Arial" w:hAnsi="Arial"/>
          <w:b/>
          <w:i w:val="0"/>
          <w:color w:val="4472C4"/>
          <w:sz w:val="20"/>
        </w:rPr>
        <w:t>BACKGROUND CONTEXT</w:t>
      </w:r>
    </w:p>
    <w:p>
      <w:pPr>
        <w:spacing w:after="60"/>
      </w:pPr>
      <w:r>
        <w:rPr>
          <w:rFonts w:ascii="Arial" w:hAnsi="Arial"/>
          <w:b w:val="0"/>
          <w:i w:val="0"/>
          <w:color w:val="232830"/>
          <w:sz w:val="19"/>
        </w:rPr>
        <w:t>Obstructive sleep apnea is an established element of Korvin's chronic baseline profile. The 2019-04-22 polysomnography and the resulting CPAP prescription remain the most recent diagnostic anchor; ongoing CPAP use has been characterized as adherence variable per home report rather than verified by objective device data within this record.</w:t>
      </w:r>
    </w:p>
    <w:p>
      <w:pPr>
        <w:spacing w:after="60"/>
      </w:pPr>
      <w:r>
        <w:t>Obstructive sleep apnea is an established element of Korvin Merrow's chronic baseline profile. The 2019-04-22 polysomnography findings and CPAP prescription are part of the historical record.</w:t>
      </w:r>
    </w:p>
    <w:p>
      <w:pPr>
        <w:spacing w:before="160"/>
      </w:pPr>
      <w:r>
        <w:rPr>
          <w:rFonts w:ascii="Arial" w:hAnsi="Arial"/>
          <w:b w:val="0"/>
          <w:i/>
          <w:color w:val="5E6670"/>
          <w:sz w:val="18"/>
        </w:rPr>
        <w:t>Electronically signed — Sleep Medicine Records, Mercy Vale Regional Medical Center</w:t>
      </w:r>
    </w:p>
    <w:p/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