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tc>
        <w:tc>
          <w:tcPr>
            <w:tcW w:type="dxa" w:w="5184"/>
          </w:tcPr>
          <w:p>
            <w:pPr>
              <w:jc w:val="right"/>
            </w:pPr>
            <w:r>
              <w:rPr>
                <w:rFonts w:ascii="Arial" w:hAnsi="Arial"/>
                <w:b/>
                <w:i w:val="0"/>
                <w:color w:val="4472C4"/>
                <w:sz w:val="18"/>
              </w:rPr>
              <w:t>Confidential</w:t>
            </w:r>
          </w:p>
        </w:tc>
      </w:tr>
      <w:tr>
        <w:tc>
          <w:tcPr>
            <w:tcW w:type="dxa" w:w="5184"/>
          </w:tcPr>
          <w:p>
            <w:r>
              <w:rPr>
                <w:rFonts w:ascii="Arial" w:hAnsi="Arial"/>
                <w:b w:val="0"/>
                <w:i w:val="0"/>
                <w:color w:val="5E6670"/>
                <w:sz w:val="16"/>
              </w:rPr>
              <w:t>Department of Cardiology  ·  5 Harbor Crest Way, Bridgehollow, PA 15211  ·  (412) 555-0143</w:t>
            </w:r>
          </w:p>
        </w:tc>
        <w:tc>
          <w:tcPr>
            <w:tcW w:type="dxa" w:w="5184"/>
          </w:tcPr>
          <w:p>
            <w:pPr>
              <w:jc w:val="right"/>
            </w:pPr>
            <w:r>
              <w:rPr>
                <w:rFonts w:ascii="Arial" w:hAnsi="Arial"/>
                <w:b w:val="0"/>
                <w:i w:val="0"/>
                <w:color w:val="5E6670"/>
                <w:sz w:val="16"/>
              </w:rPr>
              <w:t>Cardiology</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color="auto" w:fill="4472C4"/>
          </w:tcPr>
          <w:p>
            <w:pPr>
              <w:spacing w:before="0" w:after="0"/>
            </w:p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color="auto" w:fill="4472C4"/>
          </w:tcPr>
          <w:p>
            <w:pPr>
              <w:spacing w:before="40" w:after="40"/>
            </w:pPr>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color="auto" w:fill="4472C4"/>
          </w:tcPr>
          <w:p>
            <w:pPr>
              <w:spacing w:before="40" w:after="40"/>
              <w:jc w:val="right"/>
            </w:pPr>
            <w:r>
              <w:rPr>
                <w:rFonts w:ascii="Arial" w:hAnsi="Arial"/>
                <w:b/>
                <w:i w:val="0"/>
                <w:color w:val="FFFFFF"/>
                <w:sz w:val="20"/>
              </w:rPr>
              <w:t xml:space="preserve">MRN KM-6427819  </w:t>
            </w:r>
          </w:p>
        </w:tc>
      </w:tr>
      <w:tr>
        <w:tc>
          <w:tcPr>
            <w:tcW w:type="dxa" w:w="2592"/>
            <w:shd w:val="clear" w:color="auto" w:fill="EDF2FA"/>
          </w:tcPr>
          <w:p>
            <w:pPr>
              <w:spacing w:before="40" w:after="40"/>
            </w:pPr>
            <w:r>
              <w:rPr>
                <w:rFonts w:ascii="Arial" w:hAnsi="Arial"/>
                <w:b/>
                <w:i w:val="0"/>
                <w:color w:val="5E6670"/>
                <w:sz w:val="14"/>
              </w:rPr>
              <w:t>Encounter</w:t>
            </w:r>
            <w:r>
              <w:br/>
            </w:r>
            <w:r>
              <w:rPr>
                <w:rFonts w:ascii="Arial" w:hAnsi="Arial"/>
                <w:b w:val="0"/>
                <w:i w:val="0"/>
                <w:color w:val="232830"/>
                <w:sz w:val="16"/>
              </w:rPr>
              <w:t>FIN KM-2026-051877</w:t>
            </w:r>
          </w:p>
        </w:tc>
        <w:tc>
          <w:tcPr>
            <w:tcW w:type="dxa" w:w="2592"/>
            <w:shd w:val="clear" w:color="auto" w:fill="EDF2FA"/>
          </w:tcPr>
          <w:p>
            <w:pPr>
              <w:spacing w:before="40" w:after="40"/>
            </w:pPr>
            <w:r>
              <w:rPr>
                <w:rFonts w:ascii="Arial" w:hAnsi="Arial"/>
                <w:b/>
                <w:i w:val="0"/>
                <w:color w:val="5E6670"/>
                <w:sz w:val="14"/>
              </w:rPr>
              <w:t>Location</w:t>
            </w:r>
            <w:r>
              <w:br/>
            </w:r>
            <w:r>
              <w:rPr>
                <w:rFonts w:ascii="Arial" w:hAnsi="Arial"/>
                <w:b w:val="0"/>
                <w:i w:val="0"/>
                <w:color w:val="232830"/>
                <w:sz w:val="16"/>
              </w:rPr>
              <w:t>5W Medical, Room 5W-318</w:t>
            </w:r>
          </w:p>
        </w:tc>
        <w:tc>
          <w:tcPr>
            <w:tcW w:type="dxa" w:w="2592"/>
            <w:shd w:val="clear" w:color="auto" w:fill="EDF2FA"/>
          </w:tcPr>
          <w:p>
            <w:pPr>
              <w:spacing w:before="40" w:after="40"/>
            </w:pPr>
            <w:r>
              <w:rPr>
                <w:rFonts w:ascii="Arial" w:hAnsi="Arial"/>
                <w:b/>
                <w:i w:val="0"/>
                <w:color w:val="5E6670"/>
                <w:sz w:val="14"/>
              </w:rPr>
              <w:t>Allergies</w:t>
            </w:r>
            <w:r>
              <w:br/>
            </w:r>
            <w:r>
              <w:rPr>
                <w:rFonts w:ascii="Arial" w:hAnsi="Arial"/>
                <w:b w:val="0"/>
                <w:i w:val="0"/>
                <w:color w:val="232830"/>
                <w:sz w:val="16"/>
              </w:rPr>
              <w:t>Lisinopril (cough)</w:t>
            </w:r>
          </w:p>
        </w:tc>
        <w:tc>
          <w:tcPr>
            <w:tcW w:type="dxa" w:w="2592"/>
            <w:shd w:val="clear" w:color="auto" w:fill="EDF2FA"/>
          </w:tcPr>
          <w:p>
            <w:pPr>
              <w:spacing w:before="40" w:after="40"/>
            </w:pPr>
            <w:r>
              <w:rPr>
                <w:rFonts w:ascii="Arial" w:hAnsi="Arial"/>
                <w:b/>
                <w:i w:val="0"/>
                <w:color w:val="5E6670"/>
                <w:sz w:val="14"/>
              </w:rPr>
              <w:t>Code status</w:t>
            </w:r>
            <w:r>
              <w:br/>
            </w:r>
            <w:r>
              <w:rPr>
                <w:rFonts w:ascii="Arial" w:hAnsi="Arial"/>
                <w:b w:val="0"/>
                <w:i w:val="0"/>
                <w:color w:val="232830"/>
                <w:sz w:val="16"/>
              </w:rPr>
              <w:t>Full Code</w:t>
            </w:r>
          </w:p>
        </w:tc>
      </w:tr>
    </w:tbl>
    <w:p>
      <w:pPr>
        <w:spacing w:before="0" w:after="80"/>
      </w:pPr>
    </w:p>
    <w:p>
      <w:pPr>
        <w:spacing w:before="80" w:after="40"/>
      </w:pPr>
      <w:r>
        <w:rPr>
          <w:rFonts w:ascii="Arial" w:hAnsi="Arial"/>
          <w:b/>
          <w:i w:val="0"/>
          <w:color w:val="1F3864"/>
          <w:sz w:val="28"/>
        </w:rPr>
        <w:t>CARDIOLOGY CONSULTATION</w:t>
      </w:r>
    </w:p>
    <w:p>
      <w:pPr>
        <w:spacing w:before="0" w:after="120"/>
      </w:pPr>
      <w:r>
        <w:rPr>
          <w:rFonts w:ascii="Arial" w:hAnsi="Arial"/>
          <w:b w:val="0"/>
          <w:i w:val="0"/>
          <w:color w:val="5E6670"/>
          <w:sz w:val="16"/>
        </w:rPr>
        <w:t>Author: Maris Caldrane, MD — Cardiology (NPI 1639485071)  |  Department: Cardiology  |  Pager (412) 555-0311  |  Status: Signed</w:t>
      </w:r>
    </w:p>
    <w:p>
      <w:pPr>
        <w:spacing w:before="280" w:after="80"/>
        <w:pBdr>
          <w:bottom w:val="single" w:sz="6" w:color="C9D4EA" w:space="2"/>
        </w:pBdr>
      </w:pPr>
      <w:r>
        <w:rPr>
          <w:rFonts w:ascii="Arial" w:hAnsi="Arial"/>
          <w:b/>
          <w:i w:val="0"/>
          <w:color w:val="4472C4"/>
          <w:sz w:val="20"/>
        </w:rPr>
        <w:t>CONSULT METADATA</w:t>
      </w:r>
    </w:p>
    <w:p>
      <w:pPr>
        <w:spacing w:after="20"/>
      </w:pPr>
      <w:r>
        <w:rPr>
          <w:rFonts w:ascii="Arial" w:hAnsi="Arial"/>
          <w:b/>
          <w:i w:val="0"/>
          <w:color w:val="232830"/>
          <w:sz w:val="18"/>
        </w:rPr>
        <w:t xml:space="preserve">Patient: </w:t>
      </w:r>
      <w:r>
        <w:rPr>
          <w:rFonts w:ascii="Arial" w:hAnsi="Arial"/>
          <w:b w:val="0"/>
          <w:i w:val="0"/>
          <w:color w:val="232830"/>
          <w:sz w:val="18"/>
        </w:rPr>
        <w:t>Korvin Merrow</w:t>
      </w:r>
    </w:p>
    <w:p>
      <w:pPr>
        <w:spacing w:after="20"/>
      </w:pPr>
      <w:r>
        <w:rPr>
          <w:rFonts w:ascii="Arial" w:hAnsi="Arial"/>
          <w:b/>
          <w:i w:val="0"/>
          <w:color w:val="232830"/>
          <w:sz w:val="18"/>
        </w:rPr>
        <w:t xml:space="preserve">MRN: </w:t>
      </w:r>
      <w:r>
        <w:rPr>
          <w:rFonts w:ascii="Arial" w:hAnsi="Arial"/>
          <w:b w:val="0"/>
          <w:i w:val="0"/>
          <w:color w:val="232830"/>
          <w:sz w:val="18"/>
        </w:rPr>
        <w:t>KM-6427819</w:t>
      </w:r>
    </w:p>
    <w:p>
      <w:pPr>
        <w:spacing w:after="20"/>
      </w:pPr>
      <w:r>
        <w:rPr>
          <w:rFonts w:ascii="Arial" w:hAnsi="Arial"/>
          <w:b/>
          <w:i w:val="0"/>
          <w:color w:val="232830"/>
          <w:sz w:val="18"/>
        </w:rPr>
        <w:t xml:space="preserve">DOB / Age / Sex: </w:t>
      </w:r>
      <w:r>
        <w:rPr>
          <w:rFonts w:ascii="Arial" w:hAnsi="Arial"/>
          <w:b w:val="0"/>
          <w:i w:val="0"/>
          <w:color w:val="232830"/>
          <w:sz w:val="18"/>
        </w:rPr>
        <w:t>02/18/1964  ·  62 y  ·  Male</w:t>
      </w:r>
    </w:p>
    <w:p>
      <w:pPr>
        <w:spacing w:after="20"/>
      </w:pPr>
      <w:r>
        <w:rPr>
          <w:rFonts w:ascii="Arial" w:hAnsi="Arial"/>
          <w:b/>
          <w:i w:val="0"/>
          <w:color w:val="232830"/>
          <w:sz w:val="18"/>
        </w:rPr>
        <w:t xml:space="preserve">FIN: </w:t>
      </w:r>
      <w:r>
        <w:rPr>
          <w:rFonts w:ascii="Arial" w:hAnsi="Arial"/>
          <w:b w:val="0"/>
          <w:i w:val="0"/>
          <w:color w:val="232830"/>
          <w:sz w:val="18"/>
        </w:rPr>
        <w:t>KM-2026-051877</w:t>
      </w:r>
    </w:p>
    <w:p>
      <w:pPr>
        <w:spacing w:after="20"/>
      </w:pPr>
      <w:r>
        <w:rPr>
          <w:rFonts w:ascii="Arial" w:hAnsi="Arial"/>
          <w:b/>
          <w:i w:val="0"/>
          <w:color w:val="232830"/>
          <w:sz w:val="18"/>
        </w:rPr>
        <w:t xml:space="preserve">Location: </w:t>
      </w:r>
      <w:r>
        <w:rPr>
          <w:rFonts w:ascii="Arial" w:hAnsi="Arial"/>
          <w:b w:val="0"/>
          <w:i w:val="0"/>
          <w:color w:val="232830"/>
          <w:sz w:val="18"/>
        </w:rPr>
        <w:t>5W Medical, Room 5W-318</w:t>
      </w:r>
    </w:p>
    <w:p>
      <w:pPr>
        <w:spacing w:after="20"/>
      </w:pPr>
      <w:r>
        <w:rPr>
          <w:rFonts w:ascii="Arial" w:hAnsi="Arial"/>
          <w:b/>
          <w:i w:val="0"/>
          <w:color w:val="232830"/>
          <w:sz w:val="18"/>
        </w:rPr>
        <w:t xml:space="preserve">Allergies: </w:t>
      </w:r>
      <w:r>
        <w:rPr>
          <w:rFonts w:ascii="Arial" w:hAnsi="Arial"/>
          <w:b w:val="0"/>
          <w:i w:val="0"/>
          <w:color w:val="232830"/>
          <w:sz w:val="18"/>
        </w:rPr>
        <w:t>Lisinopril (cough)</w:t>
      </w:r>
    </w:p>
    <w:p>
      <w:pPr>
        <w:spacing w:after="20"/>
      </w:pPr>
      <w:r>
        <w:rPr>
          <w:rFonts w:ascii="Arial" w:hAnsi="Arial"/>
          <w:b/>
          <w:i w:val="0"/>
          <w:color w:val="232830"/>
          <w:sz w:val="18"/>
        </w:rPr>
        <w:t xml:space="preserve">Code status: </w:t>
      </w:r>
      <w:r>
        <w:rPr>
          <w:rFonts w:ascii="Arial" w:hAnsi="Arial"/>
          <w:b w:val="0"/>
          <w:i w:val="0"/>
          <w:color w:val="232830"/>
          <w:sz w:val="18"/>
        </w:rPr>
        <w:t>Full Code</w:t>
      </w:r>
    </w:p>
    <w:p>
      <w:pPr>
        <w:spacing w:after="20"/>
      </w:pPr>
      <w:r>
        <w:rPr>
          <w:rFonts w:ascii="Arial" w:hAnsi="Arial"/>
          <w:b/>
          <w:i w:val="0"/>
          <w:color w:val="232830"/>
          <w:sz w:val="18"/>
        </w:rPr>
        <w:t xml:space="preserve">Admitting service: </w:t>
      </w:r>
      <w:r>
        <w:rPr>
          <w:rFonts w:ascii="Arial" w:hAnsi="Arial"/>
          <w:b w:val="0"/>
          <w:i w:val="0"/>
          <w:color w:val="232830"/>
          <w:sz w:val="18"/>
        </w:rPr>
        <w:t>Hospital Medicine (Dr. Elian Vossmere)</w:t>
      </w:r>
    </w:p>
    <w:p>
      <w:pPr>
        <w:spacing w:after="20"/>
      </w:pPr>
      <w:r>
        <w:rPr>
          <w:rFonts w:ascii="Arial" w:hAnsi="Arial"/>
          <w:b/>
          <w:i w:val="0"/>
          <w:color w:val="232830"/>
          <w:sz w:val="18"/>
        </w:rPr>
        <w:t xml:space="preserve">Consultant: </w:t>
      </w:r>
      <w:r>
        <w:rPr>
          <w:rFonts w:ascii="Arial" w:hAnsi="Arial"/>
          <w:b w:val="0"/>
          <w:i w:val="0"/>
          <w:color w:val="232830"/>
          <w:sz w:val="18"/>
        </w:rPr>
        <w:t>Maris Caldrane, MD — Cardiology (NPI 1639485071)</w:t>
      </w:r>
    </w:p>
    <w:p>
      <w:pPr>
        <w:spacing w:after="20"/>
      </w:pPr>
      <w:r>
        <w:rPr>
          <w:rFonts w:ascii="Arial" w:hAnsi="Arial"/>
          <w:b/>
          <w:i w:val="0"/>
          <w:color w:val="232830"/>
          <w:sz w:val="18"/>
        </w:rPr>
        <w:t xml:space="preserve">Pager: </w:t>
      </w:r>
      <w:r>
        <w:rPr>
          <w:rFonts w:ascii="Arial" w:hAnsi="Arial"/>
          <w:b w:val="0"/>
          <w:i w:val="0"/>
          <w:color w:val="232830"/>
          <w:sz w:val="18"/>
        </w:rPr>
        <w:t>(412) 555-0311</w:t>
      </w:r>
    </w:p>
    <w:p>
      <w:pPr>
        <w:spacing w:after="20"/>
      </w:pPr>
      <w:r>
        <w:rPr>
          <w:rFonts w:ascii="Arial" w:hAnsi="Arial"/>
          <w:b/>
          <w:i w:val="0"/>
          <w:color w:val="232830"/>
          <w:sz w:val="18"/>
        </w:rPr>
        <w:t xml:space="preserve">Consult window: </w:t>
      </w:r>
      <w:r>
        <w:rPr>
          <w:rFonts w:ascii="Arial" w:hAnsi="Arial"/>
          <w:b w:val="0"/>
          <w:i w:val="0"/>
          <w:color w:val="232830"/>
          <w:sz w:val="18"/>
        </w:rPr>
        <w:t>HD2 – HD6 (05/19/2026 – 05/23/2026)</w:t>
      </w:r>
    </w:p>
    <w:p>
      <w:pPr>
        <w:spacing w:before="120" w:after="40"/>
      </w:pPr>
      <w:r>
        <w:rPr>
          <w:rFonts w:ascii="Arial" w:hAnsi="Arial"/>
          <w:b/>
          <w:i w:val="0"/>
          <w:color w:val="232830"/>
          <w:sz w:val="18"/>
        </w:rPr>
        <w:t xml:space="preserve">Reason for consultation: </w:t>
      </w:r>
      <w:r>
        <w:rPr>
          <w:rFonts w:ascii="Arial" w:hAnsi="Arial"/>
          <w:b w:val="0"/>
          <w:i w:val="0"/>
          <w:color w:val="232830"/>
          <w:sz w:val="18"/>
        </w:rPr>
        <w:t>HFrEF and CAD medication management during recovery from suspected urinary-source infection physiology, AKI on CKD stage 3, low-normal blood pressure reserve, and downstream discharge planning. Hospital Medicine requesting Cardiology input on the timing and sequencing of guideline-directed medical therapy reintroduction.</w:t>
      </w:r>
    </w:p>
    <w:p>
      <w:pPr>
        <w:spacing w:before="280" w:after="80"/>
        <w:pBdr>
          <w:bottom w:val="single" w:sz="6" w:color="C9D4EA" w:space="2"/>
        </w:pBdr>
      </w:pPr>
      <w:r>
        <w:t>INITIAL CONSULTATION NOTE — 05/19/2026 (HD2)</w:t>
      </w:r>
    </w:p>
    <w:p>
      <w:pPr>
        <w:spacing w:before="0" w:after="80"/>
      </w:pPr>
      <w:r>
        <w:rPr>
          <w:rFonts w:ascii="Arial" w:hAnsi="Arial"/>
          <w:b/>
          <w:i w:val="0"/>
          <w:color w:val="232830"/>
          <w:sz w:val="18"/>
        </w:rPr>
        <w:t xml:space="preserve">Cardiac history. </w:t>
      </w:r>
      <w:r>
        <w:rPr>
          <w:rFonts w:ascii="Arial" w:hAnsi="Arial"/>
          <w:b w:val="0"/>
          <w:i w:val="0"/>
          <w:color w:val="232830"/>
          <w:sz w:val="18"/>
        </w:rPr>
        <w:t>Mr. Merrow carries established HFrEF (ICD-10 I50.22) and CAD with remote PCI/stent (ICD-10 I25.10). Prior catheterization in September 2018 at this facility documented single-vessel disease with successful drug-eluting stent placement to the mid-LAD; that record predates my own panel involvement and is preserved in the legacy file. Long-term cardiovascular protection has subsequently been managed on aspirin monotherapy plus statin, with HFrEF GDMT layered as sacubitril/valsartan (substituted historically for an ACE-inhibitor after lisinopril-induced cough), carvedilol, spironolactone, and empagliflozin, with furosemide for volume management.</w:t>
      </w:r>
    </w:p>
    <w:p>
      <w:pPr>
        <w:spacing w:before="0" w:after="80"/>
      </w:pPr>
      <w:r>
        <w:rPr>
          <w:rFonts w:ascii="Arial" w:hAnsi="Arial"/>
          <w:b/>
          <w:i w:val="0"/>
          <w:color w:val="232830"/>
          <w:sz w:val="18"/>
        </w:rPr>
        <w:t xml:space="preserve">Current cardiovascular status. </w:t>
      </w:r>
      <w:r>
        <w:rPr>
          <w:rFonts w:ascii="Arial" w:hAnsi="Arial"/>
          <w:b w:val="0"/>
          <w:i w:val="0"/>
          <w:color w:val="232830"/>
          <w:sz w:val="18"/>
        </w:rPr>
        <w:t>Telemetry sinus rhythm without sustained ectopy on review of HD1–HD2 strips. Hemodynamics on admission and into HD2 remain in a low-normal range (systolic 96–118 mmHg) with a documented near-fall and lightheadedness preceding admission. No active chest pain, no ischemic ECG changes on the HD1 12-lead, no troponin elevation indicating acute coronary syndrome on the admission panel. The clinical syndrome is dominated by infection physiology, intravascular depletion, and AKI on CKD rather than primary cardiac decompensation.</w:t>
      </w:r>
    </w:p>
    <w:p>
      <w:r>
        <w:t>Physical Examination (05/19/2026).</w:t>
      </w:r>
    </w:p>
    <w:p>
      <w:r>
        <w:t>Cardiovascular: Mildly tachycardic, regular rhythm; S1/S2 present; no S3 or S4 appreciated; no new murmur or rub. Pulmonary: Clear to auscultation bilaterally; no rales or wheezes. JVP: Not elevated at 30°. Extremities: Trace pedal edema bilaterally; warm, no calf tenderness; peripheral pulses 2+ symmetric. Skin: Warm, dry, reduced turgor.</w:t>
      </w:r>
    </w:p>
    <w:p>
      <w:pPr>
        <w:spacing w:before="0" w:after="80"/>
      </w:pPr>
      <w:r>
        <w:rPr>
          <w:rFonts w:ascii="Arial" w:hAnsi="Arial"/>
          <w:b/>
          <w:i w:val="0"/>
          <w:color w:val="232830"/>
          <w:sz w:val="18"/>
        </w:rPr>
        <w:t xml:space="preserve">Cardiology framing of the GDMT picture. </w:t>
      </w:r>
      <w:r>
        <w:rPr>
          <w:rFonts w:ascii="Arial" w:hAnsi="Arial"/>
          <w:b w:val="0"/>
          <w:i w:val="0"/>
          <w:color w:val="232830"/>
          <w:sz w:val="18"/>
        </w:rPr>
        <w:t>The admission medication actions appropriately held sacubitril/valsartan, spironolactone, empagliflozin, and furosemide, and cautiously approached carvedilol, in the setting of AKI, poor oral intake, and borderline hemodynamics. Those temporary holds are clinically defensible at this moment. Cardiology's standing concern, registered now while the holds are still fresh, is that loss of HFrEF/CAD GDMT — beta-blocker, renin–angiotensin–aldosterone modulation, mineralocorticoid antagonism, and SGLT2 inhibition — meaningfully raises decompensation and 30-day readmission risk if the holds drift into unintended permanent omissions. Current hemodynamic and renal vulnerability legitimately requires temporary holds; the corresponding obligation is to plan restart sequencing as renal recovery and blood pressure permit, not to let “held during AKI” persist by inertia.</w:t>
      </w:r>
    </w:p>
    <w:p>
      <w:pPr>
        <w:spacing w:before="40" w:after="40"/>
      </w:pPr>
      <w:r>
        <w:rPr>
          <w:rFonts w:ascii="Arial" w:hAnsi="Arial"/>
          <w:b/>
          <w:i w:val="0"/>
          <w:color w:val="232830"/>
          <w:sz w:val="18"/>
        </w:rPr>
        <w:t>Initial recommendations.</w:t>
      </w:r>
    </w:p>
    <w:p>
      <w:pPr>
        <w:pStyle w:val="ListBullet"/>
        <w:spacing w:after="40"/>
        <w:ind w:left="360"/>
      </w:pPr>
      <w:r>
        <w:rPr>
          <w:rFonts w:ascii="Arial" w:hAnsi="Arial"/>
          <w:b w:val="0"/>
          <w:i w:val="0"/>
          <w:color w:val="232830"/>
          <w:sz w:val="18"/>
        </w:rPr>
        <w:t>Continue aspirin 81 mg daily and atorvastatin 40 mg nightly as CAD secondary-prevention continuity therapy unless a hard contraindication develops.</w:t>
      </w:r>
    </w:p>
    <w:p>
      <w:pPr>
        <w:pStyle w:val="ListBullet"/>
        <w:spacing w:after="40"/>
        <w:ind w:left="360"/>
      </w:pPr>
      <w:r>
        <w:rPr>
          <w:rFonts w:ascii="Arial" w:hAnsi="Arial"/>
          <w:b w:val="0"/>
          <w:i w:val="0"/>
          <w:color w:val="232830"/>
          <w:sz w:val="18"/>
        </w:rPr>
        <w:t>Maintain current holds on sacubitril/valsartan, spironolactone, empagliflozin, and furosemide pending renal and hemodynamic recovery.</w:t>
      </w:r>
    </w:p>
    <w:p>
      <w:pPr>
        <w:pStyle w:val="ListBullet"/>
        <w:spacing w:after="40"/>
        <w:ind w:left="360"/>
      </w:pPr>
      <w:r>
        <w:rPr>
          <w:rFonts w:ascii="Arial" w:hAnsi="Arial"/>
          <w:b w:val="0"/>
          <w:i w:val="0"/>
          <w:color w:val="232830"/>
          <w:sz w:val="18"/>
        </w:rPr>
        <w:t>Approach carvedilol cautiously rather than committing to indefinite hold; reassess each shift against blood pressure and heart rate.</w:t>
      </w:r>
    </w:p>
    <w:p>
      <w:pPr>
        <w:pStyle w:val="ListBullet"/>
        <w:spacing w:after="40"/>
        <w:ind w:left="360"/>
      </w:pPr>
      <w:r>
        <w:rPr>
          <w:rFonts w:ascii="Arial" w:hAnsi="Arial"/>
          <w:b w:val="0"/>
          <w:i w:val="0"/>
          <w:color w:val="232830"/>
          <w:sz w:val="18"/>
        </w:rPr>
        <w:t>Telemetry continued; no indication for advanced cardiac imaging at this admission absent new ischemic features.</w:t>
      </w:r>
    </w:p>
    <w:p>
      <w:pPr>
        <w:pStyle w:val="ListBullet"/>
        <w:spacing w:after="40"/>
        <w:ind w:left="360"/>
      </w:pPr>
      <w:r>
        <w:rPr>
          <w:rFonts w:ascii="Arial" w:hAnsi="Arial"/>
          <w:b w:val="0"/>
          <w:i w:val="0"/>
          <w:color w:val="232830"/>
          <w:sz w:val="18"/>
        </w:rPr>
        <w:t>Cardiology will provide dated follow-up addenda through the remainder of the inpatient course.</w:t>
      </w:r>
    </w:p>
    <w:p>
      <w:pPr>
        <w:spacing w:before="120" w:after="40"/>
      </w:pPr>
      <w:r>
        <w:t>Electronically signed: Maris Caldrane, MD — Cardiology — 05/19/2026</w:t>
      </w:r>
    </w:p>
    <w:p>
      <w:pPr>
        <w:spacing w:before="280" w:after="80"/>
        <w:pBdr>
          <w:bottom w:val="single" w:sz="6" w:color="C9D4EA" w:space="2"/>
        </w:pBdr>
      </w:pPr>
      <w:r>
        <w:t>ADDENDUM — 05/20/2026 (HD3)</w:t>
      </w:r>
    </w:p>
    <w:p>
      <w:pPr>
        <w:spacing w:before="0" w:after="80"/>
      </w:pPr>
      <w:r>
        <w:rPr>
          <w:rFonts w:ascii="Arial" w:hAnsi="Arial"/>
          <w:b w:val="0"/>
          <w:i w:val="0"/>
          <w:color w:val="232830"/>
          <w:sz w:val="18"/>
        </w:rPr>
        <w:t>Reviewed HD3 trend. Creatinine improving (2.12 mg/dL), potassium 4.7 mmol/L, WBC 11.9 K/µL, hemodynamics modestly improved (systolic 106–124 mmHg). Patient symptomatically less orthostatic, intake gradually improving.</w:t>
      </w:r>
    </w:p>
    <w:p>
      <w:pPr>
        <w:spacing w:before="0" w:after="80"/>
      </w:pPr>
      <w:r>
        <w:rPr>
          <w:rFonts w:ascii="Arial" w:hAnsi="Arial"/>
          <w:b w:val="0"/>
          <w:i w:val="0"/>
          <w:color w:val="232830"/>
          <w:sz w:val="18"/>
        </w:rPr>
        <w:t>Cardiology emphasis at this point: carvedilol should be cautiously reintroduced if blood pressure tolerates, rather than allowed to lapse for a prolonged period in a patient with established CAD and HFrEF. Even relatively short interruption of beta-blockade in this population carries an avoidable rebound and ischemic-event signal that we are not willing to accept silently. Suggest restarting at a reduced dose with documented monitoring rather than waiting for full renal normalization. Aspirin and atorvastatin continued as previously recommended. Sacubitril/valsartan, spironolactone, and empagliflozin remain held pending further renal and electrolyte trajectory.</w:t>
      </w:r>
    </w:p>
    <w:p>
      <w:pPr>
        <w:spacing w:before="120" w:after="40"/>
      </w:pPr>
      <w:r>
        <w:t>Electronically signed: Maris Caldrane, MD — Cardiology — 05/20/2026</w:t>
      </w:r>
    </w:p>
    <w:p>
      <w:pPr>
        <w:spacing w:before="280" w:after="80"/>
        <w:pBdr>
          <w:bottom w:val="single" w:sz="6" w:color="C9D4EA" w:space="2"/>
        </w:pBdr>
      </w:pPr>
      <w:r>
        <w:t>ADDENDUM — 05/21/2026 (HD4)</w:t>
      </w:r>
    </w:p>
    <w:p>
      <w:pPr>
        <w:spacing w:before="0" w:after="80"/>
      </w:pPr>
      <w:r>
        <w:rPr>
          <w:rFonts w:ascii="Arial" w:hAnsi="Arial"/>
          <w:b w:val="0"/>
          <w:i w:val="0"/>
          <w:color w:val="232830"/>
          <w:sz w:val="18"/>
        </w:rPr>
        <w:t>Reviewed HD4 trend. Creatinine 1.98 mg/dL, potassium 4.6 mmol/L, WBC 10.8 K/µL, systolic 110–128 mmHg. Infection markers continue to recede; renal trajectory continues to improve but has not reached the patient's outpatient baseline range (1.6–1.8 mg/dL).</w:t>
      </w:r>
    </w:p>
    <w:p>
      <w:pPr>
        <w:spacing w:before="0" w:after="80"/>
      </w:pPr>
      <w:r>
        <w:rPr>
          <w:rFonts w:ascii="Arial" w:hAnsi="Arial"/>
          <w:b w:val="0"/>
          <w:i w:val="0"/>
          <w:color w:val="232830"/>
          <w:sz w:val="18"/>
        </w:rPr>
        <w:t>Explicit Cardiology position registered today: preserve HFrEF and CAD protective therapy. Decompensation and readmission risk rise materially when GDMT is lost or deferred beyond what the acute physiology requires. Today's recommendation is therefore to begin planning the restart sequence now — selecting agents, doses, and parameter triggers — even while renal recovery is still in progress, rather than waiting for a single fully-recovered moment to make all reintroduction decisions at once.</w:t>
      </w:r>
    </w:p>
    <w:p>
      <w:pPr>
        <w:spacing w:before="0" w:after="80"/>
      </w:pPr>
      <w:r>
        <w:t>I acknowledge Nephrology's contemporaneous position that renal, potassium, blood pressure, and intake reserve remain fragile and that each agent has independent renal and hemodynamic implications. Cardiology registers this tension transparently for the primary team. The cardiovascular stakes — decompensation and readmission risk from prolonged GDMT absence — must be weighed against the renal and hemodynamic concerns Nephrology has contemporaneously documented; that synthesis belongs to the primary attending. This friction is being documented transparently for the primary team's synthesis.</w:t>
      </w:r>
    </w:p>
    <w:p>
      <w:pPr>
        <w:spacing w:before="120" w:after="40"/>
      </w:pPr>
      <w:r>
        <w:t>Electronically signed: Maris Caldrane, MD — Cardiology — 05/21/2026</w:t>
      </w:r>
    </w:p>
    <w:p>
      <w:pPr>
        <w:spacing w:before="280" w:after="80"/>
        <w:pBdr>
          <w:bottom w:val="single" w:sz="6" w:color="C9D4EA" w:space="2"/>
        </w:pBdr>
      </w:pPr>
      <w:r>
        <w:t>ADDENDUM — 05/22/2026 (HD5)</w:t>
      </w:r>
    </w:p>
    <w:p>
      <w:pPr>
        <w:spacing w:before="0" w:after="80"/>
      </w:pPr>
      <w:r>
        <w:rPr>
          <w:rFonts w:ascii="Arial" w:hAnsi="Arial"/>
          <w:b w:val="0"/>
          <w:i w:val="0"/>
          <w:color w:val="232830"/>
          <w:sz w:val="18"/>
        </w:rPr>
        <w:t>Reviewed HD5 trend. Creatinine 1.86 mg/dL, potassium 4.5 mmol/L, systolic 112–128 mmHg, intake improved, afebrile. Patient nearing his baseline renal range without yet meeting it.</w:t>
      </w:r>
    </w:p>
    <w:p>
      <w:pPr>
        <w:spacing w:before="0" w:after="40"/>
      </w:pPr>
      <w:r>
        <w:t>Cardiology guidance remains as previously documented: restart timing will be coordinated with Nephrology and the primary team as the clinical picture supports.</w:t>
      </w:r>
    </w:p>
    <w:p>
      <w:pPr>
        <w:pStyle w:val="ListBullet"/>
        <w:spacing w:after="40"/>
        <w:ind w:left="360"/>
      </w:pPr>
    </w:p>
    <w:p>
      <w:pPr>
        <w:spacing w:before="120" w:after="40"/>
      </w:pPr>
      <w:r>
        <w:t>Electronically signed: Maris Caldrane, MD — Cardiology — 05/22/2026</w:t>
      </w:r>
    </w:p>
    <w:p>
      <w:pPr>
        <w:spacing w:before="280" w:after="80"/>
        <w:pBdr>
          <w:bottom w:val="single" w:sz="6" w:color="C9D4EA" w:space="2"/>
        </w:pBdr>
      </w:pPr>
      <w:r>
        <w:t>ADDENDUM — 05/23/2026 (HD6, pre-close)</w:t>
      </w:r>
    </w:p>
    <w:p>
      <w:pPr>
        <w:spacing w:before="0" w:after="80"/>
      </w:pPr>
      <w:r>
        <w:rPr>
          <w:rFonts w:ascii="Arial" w:hAnsi="Arial"/>
          <w:b w:val="0"/>
          <w:i w:val="0"/>
          <w:color w:val="232830"/>
          <w:sz w:val="18"/>
        </w:rPr>
        <w:t>Reviewed HD6 trend. Creatinine 1.8 mg/dL (upper edge of patient's stated baseline range), potassium 4.4 mmol/L, systolic 114–130 mmHg, afebrile, intake improved. Discharge appears plausible from a cardiovascular standpoint, contingent on the primary team's broader synthesis.</w:t>
      </w:r>
    </w:p>
    <w:p>
      <w:pPr>
        <w:spacing w:before="0" w:after="80"/>
      </w:pPr>
      <w:r>
        <w:t>Outpatient cardiology follow-up recommended within 2 weeks of discharge in my clinic for restart titration, blood pressure and orthostatic assessment, and reconciliation of the final ambulatory regimen. Final restart sequencing for sacubitril/valsartan, spironolactone, empagliflozin, and the diuretic strategy requires coordination with Nephrology and depends on the parameter trajectory documented in prior addenda. Cardiology is not declaring a unilateral restart safe at the moment of discharge; Cardiology recommends that the hospitalist team coordinate restart timing with Nephrology using the parameter gates documented in prior addenda.</w:t>
      </w:r>
    </w:p>
    <w:p>
      <w:pPr>
        <w:spacing w:before="0" w:after="80"/>
      </w:pPr>
      <w:r>
        <w:rPr>
          <w:rFonts w:ascii="Arial" w:hAnsi="Arial"/>
          <w:b w:val="0"/>
          <w:i w:val="0"/>
          <w:color w:val="232830"/>
          <w:sz w:val="18"/>
        </w:rPr>
        <w:t>Family education at follow-up should emphasize the symptoms of HFrEF decompensation (weight gain, orthopnea, increasing edema, exertional dyspnea) and angina-equivalent symptoms warranting urgent contact, given the patient's CAD and prior LAD stent.</w:t>
      </w:r>
    </w:p>
    <w:p>
      <w:pPr>
        <w:spacing w:before="120" w:after="40"/>
      </w:pPr>
      <w:r>
        <w:t>Electronically signed: Maris Caldrane, MD — Cardiology — 05/23/2026</w:t>
      </w:r>
    </w:p>
    <w:p>
      <w:pPr>
        <w:spacing w:before="240"/>
        <w:pBdr>
          <w:top w:val="single" w:sz="4" w:color="C9D4EA" w:space="4"/>
        </w:pBdr>
      </w:pPr>
      <w:r>
        <w:rPr>
          <w:rFonts w:ascii="Arial" w:hAnsi="Arial"/>
          <w:b w:val="0"/>
          <w:i/>
          <w:color w:val="5E6670"/>
          <w:sz w:val="18"/>
        </w:rPr>
        <w:t>Electronically signed by Maris Caldrane, MD — Cardiology  |  NPI 1639485071  |  Pager (412) 555-0311</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6"/>
      </w:rPr>
      <w:t>Mercy Vale Regional Medical Center  |  Cardiology consultation documentation  |  Synthetic training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b w:val="0"/>
        <w:i w:val="0"/>
        <w:color w:val="5E6670"/>
        <w:sz w:val="16"/>
      </w:rPr>
      <w:t>Korvin Merrow  |  MRN KM-6427819  |  DOB 02/18/1964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