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8064"/>
        <w:gridCol w:w="2304"/>
      </w:tblGrid>
      <w:tr>
        <w:tc>
          <w:tcPr>
            <w:tcW w:type="dxa" w:w="8064"/>
            <w:tcBorders>
              <w:top w:val="nil"/>
              <w:left w:val="nil"/>
              <w:bottom w:val="nil"/>
              <w:right w:val="nil"/>
            </w:tcBorders>
          </w:tcPr>
          <w:p>
            <w:pPr>
              <w:spacing w:before="0" w:after="0"/>
            </w:pPr>
            <w:r>
              <w:rPr>
                <w:rFonts w:ascii="Arial" w:hAnsi="Arial"/>
                <w:b/>
                <w:i w:val="0"/>
                <w:color w:val="1F3864"/>
                <w:sz w:val="22"/>
              </w:rPr>
              <w:t>MERCY VALE PRIMARY CARE — HARBOR CREST CLINIC</w:t>
            </w:r>
          </w:p>
          <w:p>
            <w:pPr>
              <w:spacing w:before="0" w:after="0"/>
            </w:pPr>
            <w:r>
              <w:rPr>
                <w:rFonts w:ascii="Arial" w:hAnsi="Arial"/>
                <w:b w:val="0"/>
                <w:i w:val="0"/>
                <w:color w:val="5E6670"/>
                <w:sz w:val="16"/>
              </w:rPr>
              <w:t>215 Harbor Crest Way, Suite 220, Bridgehollow, PA 15211</w:t>
            </w:r>
          </w:p>
          <w:p>
            <w:pPr>
              <w:spacing w:before="0" w:after="0"/>
            </w:pPr>
            <w:r>
              <w:rPr>
                <w:rFonts w:ascii="Arial" w:hAnsi="Arial"/>
                <w:b w:val="0"/>
                <w:i w:val="0"/>
                <w:color w:val="5E6670"/>
                <w:sz w:val="16"/>
              </w:rPr>
              <w:t>Phone (412) 555-0410  |  Fax (412) 555-0411</w:t>
            </w:r>
          </w:p>
        </w:tc>
        <w:tc>
          <w:tcPr>
            <w:tcW w:type="dxa" w:w="2304"/>
            <w:tcBorders>
              <w:top w:val="nil"/>
              <w:left w:val="nil"/>
              <w:bottom w:val="nil"/>
              <w:right w:val="nil"/>
            </w:tcBorders>
          </w:tcPr>
          <w:p>
            <w:pPr>
              <w:spacing w:before="0" w:after="0"/>
              <w:jc w:val="right"/>
            </w:pPr>
            <w:r>
              <w:rPr>
                <w:rFonts w:ascii="Arial" w:hAnsi="Arial"/>
                <w:b/>
                <w:i w:val="0"/>
                <w:color w:val="4472C4"/>
                <w:sz w:val="18"/>
              </w:rPr>
              <w:t>Confidential</w:t>
            </w:r>
          </w:p>
          <w:p>
            <w:pPr>
              <w:spacing w:before="0" w:after="0"/>
              <w:jc w:val="right"/>
            </w:pPr>
            <w:r>
              <w:rPr>
                <w:rFonts w:ascii="Arial" w:hAnsi="Arial"/>
                <w:b w:val="0"/>
                <w:i w:val="0"/>
                <w:color w:val="5E6670"/>
                <w:sz w:val="16"/>
              </w:rPr>
              <w:t>Primary Care</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50" w:hRule="exact"/>
        </w:trPr>
        <w:tc>
          <w:tcPr>
            <w:tcW w:type="dxa" w:w="10368"/>
            <w:shd w:val="clear" w:color="auto" w:fill="4472C4"/>
          </w:tcPr>
          <w:p>
            <w:pPr>
              <w:spacing w:before="0" w:after="0"/>
            </w:pPr>
            <w:r>
              <w:rPr>
                <w:rFonts w:ascii="Arial" w:hAnsi="Arial"/>
                <w:b w:val="0"/>
                <w:i w:val="0"/>
                <w:color w:val="232830"/>
                <w:sz w:val="2"/>
              </w:rPr>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2592"/>
        <w:gridCol w:w="2592"/>
        <w:gridCol w:w="2592"/>
        <w:gridCol w:w="2592"/>
      </w:tblGrid>
      <w:tr>
        <w:tc>
          <w:tcPr>
            <w:tcW w:type="dxa" w:w="7776"/>
            <w:gridSpan w:val="3"/>
            <w:shd w:val="clear" w:color="auto" w:fill="4472C4"/>
            <w:tcBorders>
              <w:top w:val="nil"/>
              <w:left w:val="nil"/>
              <w:bottom w:val="nil"/>
              <w:right w:val="nil"/>
            </w:tcBorders>
          </w:tcPr>
          <w:p>
            <w:pPr>
              <w:spacing w:before="40" w:after="40"/>
            </w:pPr>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color="auto" w:fill="4472C4"/>
            <w:tcBorders>
              <w:top w:val="nil"/>
              <w:left w:val="nil"/>
              <w:bottom w:val="nil"/>
              <w:right w:val="nil"/>
            </w:tcBorders>
          </w:tcPr>
          <w:p>
            <w:pPr>
              <w:spacing w:before="40" w:after="40"/>
              <w:jc w:val="right"/>
            </w:pPr>
            <w:r>
              <w:rPr>
                <w:rFonts w:ascii="Arial" w:hAnsi="Arial"/>
                <w:b/>
                <w:i w:val="0"/>
                <w:color w:val="FFFFFF"/>
                <w:sz w:val="20"/>
              </w:rPr>
              <w:t xml:space="preserve">MRN KM-6427819  </w:t>
            </w:r>
          </w:p>
        </w:tc>
      </w:tr>
      <w:tr>
        <w:tc>
          <w:tcPr>
            <w:tcW w:type="dxa" w:w="2592"/>
            <w:shd w:val="clear" w:color="auto" w:fill="EDF2FA"/>
            <w:tcBorders>
              <w:top w:val="nil"/>
              <w:left w:val="nil"/>
              <w:bottom w:val="nil"/>
              <w:right w:val="nil"/>
            </w:tcBorders>
          </w:tcPr>
          <w:p>
            <w:pPr>
              <w:spacing w:before="40" w:after="40"/>
            </w:pPr>
            <w:r>
              <w:rPr>
                <w:rFonts w:ascii="Arial" w:hAnsi="Arial"/>
                <w:b/>
                <w:i w:val="0"/>
                <w:color w:val="5E6670"/>
                <w:sz w:val="14"/>
              </w:rPr>
              <w:t>Document date</w:t>
            </w:r>
          </w:p>
          <w:p>
            <w:pPr>
              <w:spacing w:before="0" w:after="40"/>
            </w:pPr>
            <w:r>
              <w:t>05/18/2026</w:t>
            </w:r>
          </w:p>
        </w:tc>
        <w:tc>
          <w:tcPr>
            <w:tcW w:type="dxa" w:w="2592"/>
            <w:shd w:val="clear" w:color="auto" w:fill="EDF2FA"/>
            <w:tcBorders>
              <w:top w:val="nil"/>
              <w:left w:val="nil"/>
              <w:bottom w:val="nil"/>
              <w:right w:val="nil"/>
            </w:tcBorders>
          </w:tcPr>
          <w:p>
            <w:pPr>
              <w:spacing w:before="40" w:after="40"/>
            </w:pPr>
            <w:r>
              <w:rPr>
                <w:rFonts w:ascii="Arial" w:hAnsi="Arial"/>
                <w:b/>
                <w:i w:val="0"/>
                <w:color w:val="5E6670"/>
                <w:sz w:val="14"/>
              </w:rPr>
              <w:t>Author</w:t>
            </w:r>
          </w:p>
          <w:p>
            <w:pPr>
              <w:spacing w:before="0" w:after="40"/>
            </w:pPr>
            <w:r>
              <w:rPr>
                <w:rFonts w:ascii="Arial" w:hAnsi="Arial"/>
                <w:b w:val="0"/>
                <w:i w:val="0"/>
                <w:color w:val="232830"/>
                <w:sz w:val="16"/>
              </w:rPr>
              <w:t>Talia Quenor, MD</w:t>
            </w:r>
            <w:r>
              <w:br/>
            </w:r>
            <w:r>
              <w:rPr>
                <w:rFonts w:ascii="Arial" w:hAnsi="Arial"/>
                <w:b w:val="0"/>
                <w:i w:val="0"/>
                <w:color w:val="232830"/>
                <w:sz w:val="16"/>
              </w:rPr>
              <w:t>NPI 1962718304</w:t>
            </w:r>
          </w:p>
        </w:tc>
        <w:tc>
          <w:tcPr>
            <w:tcW w:type="dxa" w:w="2592"/>
            <w:shd w:val="clear" w:color="auto" w:fill="EDF2FA"/>
            <w:tcBorders>
              <w:top w:val="nil"/>
              <w:left w:val="nil"/>
              <w:bottom w:val="nil"/>
              <w:right w:val="nil"/>
            </w:tcBorders>
          </w:tcPr>
          <w:p>
            <w:pPr>
              <w:spacing w:before="40" w:after="40"/>
            </w:pPr>
            <w:r>
              <w:rPr>
                <w:rFonts w:ascii="Arial" w:hAnsi="Arial"/>
                <w:b/>
                <w:i w:val="0"/>
                <w:color w:val="5E6670"/>
                <w:sz w:val="14"/>
              </w:rPr>
              <w:t>Allergy</w:t>
            </w:r>
          </w:p>
          <w:p>
            <w:pPr>
              <w:spacing w:before="0" w:after="40"/>
            </w:pPr>
            <w:r>
              <w:rPr>
                <w:rFonts w:ascii="Arial" w:hAnsi="Arial"/>
                <w:b w:val="0"/>
                <w:i w:val="0"/>
                <w:color w:val="232830"/>
                <w:sz w:val="16"/>
              </w:rPr>
              <w:t>Lisinopril (cough)</w:t>
            </w:r>
          </w:p>
        </w:tc>
        <w:tc>
          <w:tcPr>
            <w:tcW w:type="dxa" w:w="2592"/>
            <w:shd w:val="clear" w:color="auto" w:fill="EDF2FA"/>
            <w:tcBorders>
              <w:top w:val="nil"/>
              <w:left w:val="nil"/>
              <w:bottom w:val="nil"/>
              <w:right w:val="nil"/>
            </w:tcBorders>
          </w:tcPr>
          <w:p>
            <w:pPr>
              <w:spacing w:before="40" w:after="40"/>
            </w:pPr>
            <w:r>
              <w:rPr>
                <w:rFonts w:ascii="Arial" w:hAnsi="Arial"/>
                <w:b/>
                <w:i w:val="0"/>
                <w:color w:val="5E6670"/>
                <w:sz w:val="14"/>
              </w:rPr>
              <w:t>Document type</w:t>
            </w:r>
          </w:p>
          <w:p>
            <w:pPr>
              <w:spacing w:before="0" w:after="40"/>
            </w:pPr>
            <w:r>
              <w:rPr>
                <w:rFonts w:ascii="Arial" w:hAnsi="Arial"/>
                <w:b w:val="0"/>
                <w:i w:val="0"/>
                <w:color w:val="232830"/>
                <w:sz w:val="16"/>
              </w:rPr>
              <w:t>Primary care outpatient baseline summary</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color="auto" w:fill="EDF2FA"/>
            <w:tcBorders>
              <w:top w:val="nil"/>
              <w:left w:val="nil"/>
              <w:bottom w:val="nil"/>
              <w:right w:val="nil"/>
            </w:tcBorders>
          </w:tcPr>
          <w:p>
            <w:pPr>
              <w:spacing w:before="40" w:after="40"/>
            </w:pPr>
            <w:r>
              <w:rPr>
                <w:rFonts w:ascii="Arial" w:hAnsi="Arial"/>
                <w:b/>
                <w:i w:val="0"/>
                <w:color w:val="5E6670"/>
                <w:sz w:val="14"/>
              </w:rPr>
              <w:t xml:space="preserve">Disposition  </w:t>
            </w:r>
            <w:r>
              <w:rPr>
                <w:rFonts w:ascii="Arial" w:hAnsi="Arial"/>
                <w:b w:val="0"/>
                <w:i w:val="0"/>
                <w:color w:val="232830"/>
                <w:sz w:val="16"/>
              </w:rPr>
              <w:t>Forwarded to inpatient team at admission, Mercy Vale Regional Medical Center</w:t>
            </w:r>
          </w:p>
        </w:tc>
      </w:tr>
    </w:tbl>
    <w:p>
      <w:pPr>
        <w:spacing w:before="0" w:after="0"/>
      </w:pPr>
    </w:p>
    <w:p>
      <w:pPr>
        <w:spacing w:before="120" w:after="20"/>
      </w:pPr>
      <w:r>
        <w:rPr>
          <w:rFonts w:ascii="Arial" w:hAnsi="Arial"/>
          <w:b/>
          <w:i w:val="0"/>
          <w:color w:val="1F3864"/>
          <w:sz w:val="28"/>
        </w:rPr>
        <w:t>PRIMARY CARE OUTPATIENT BASELINE SUMMARY</w:t>
      </w:r>
    </w:p>
    <w:p>
      <w:pPr>
        <w:spacing w:before="0" w:after="120"/>
      </w:pPr>
      <w:r>
        <w:t>Author: Talia Quenor, MD — Primary Care  |  Mercy Vale Primary Care, Harbor Crest Clinic  |  Document date: 05/18/2026  |  Status: Electronically signed</w:t>
      </w:r>
    </w:p>
    <w:p>
      <w:pPr>
        <w:spacing w:before="160" w:after="60"/>
        <w:pBdr>
          <w:bottom w:val="single" w:sz="6" w:space="2" w:color="C9D4EA"/>
        </w:pBdr>
      </w:pPr>
      <w:r>
        <w:rPr>
          <w:rFonts w:ascii="Arial" w:hAnsi="Arial"/>
          <w:b/>
          <w:i w:val="0"/>
          <w:color w:val="4472C4"/>
          <w:sz w:val="20"/>
        </w:rPr>
        <w:t>SOURCE</w:t>
      </w:r>
    </w:p>
    <w:p>
      <w:pPr>
        <w:spacing w:before="20" w:after="60"/>
      </w:pPr>
      <w:r>
        <w:rPr>
          <w:rFonts w:ascii="Arial" w:hAnsi="Arial"/>
          <w:b w:val="0"/>
          <w:i w:val="0"/>
          <w:color w:val="232830"/>
          <w:sz w:val="19"/>
        </w:rPr>
        <w:t>Source: longitudinal outpatient primary care record, Mercy Vale Primary Care — Harbor Crest Clinic.</w:t>
      </w:r>
    </w:p>
    <w:p>
      <w:pPr>
        <w:spacing w:before="20" w:after="60"/>
      </w:pPr>
      <w:r>
        <w:rPr>
          <w:rFonts w:ascii="Arial" w:hAnsi="Arial"/>
          <w:b w:val="0"/>
          <w:i w:val="0"/>
          <w:color w:val="232830"/>
          <w:sz w:val="19"/>
        </w:rPr>
        <w:t>This summary describes Mr. Merrow's outpatient steady state immediately prior to the present hospitalization. It is provided to the inpatient team as a comparator for clinical interpretation, not as a current clinical status.</w:t>
      </w:r>
    </w:p>
    <w:p>
      <w:pPr>
        <w:spacing w:before="160" w:after="60"/>
        <w:pBdr>
          <w:bottom w:val="single" w:sz="6" w:space="2" w:color="C9D4EA"/>
        </w:pBdr>
      </w:pPr>
      <w:r>
        <w:rPr>
          <w:rFonts w:ascii="Arial" w:hAnsi="Arial"/>
          <w:b/>
          <w:i w:val="0"/>
          <w:color w:val="4472C4"/>
          <w:sz w:val="20"/>
        </w:rPr>
        <w:t>BASELINE FUNCTION AND HOME CONTEXT</w:t>
      </w:r>
    </w:p>
    <w:p>
      <w:pPr>
        <w:spacing w:before="20" w:after="60"/>
      </w:pPr>
      <w:r>
        <w:rPr>
          <w:rFonts w:ascii="Arial" w:hAnsi="Arial"/>
          <w:b w:val="0"/>
          <w:i w:val="0"/>
          <w:color w:val="232830"/>
          <w:sz w:val="19"/>
        </w:rPr>
        <w:t>Korvin lives in a single-story home with his wife, Mara, and an adult daughter who is involved intermittently. At baseline he is independent with basic activities of daily living — bathing, dressing, toileting, feeding — but moves at a slower pace because of cumulative chronic illness. He uses a cane occasionally, typically for longer distances or on days when his joints or stamina are worse; he does not use an assistive device routinely in the home.</w:t>
      </w:r>
    </w:p>
    <w:p>
      <w:pPr>
        <w:spacing w:before="20" w:after="60"/>
      </w:pPr>
      <w:r>
        <w:rPr>
          <w:rFonts w:ascii="Arial" w:hAnsi="Arial"/>
          <w:b w:val="0"/>
          <w:i w:val="0"/>
          <w:color w:val="232830"/>
          <w:sz w:val="19"/>
        </w:rPr>
        <w:t>He participates actively in his daily medication routine with family oversight. Mara supports organization and timing; Korvin handles most of the day-to-day administration himself. His baseline cognition is best described as mild age-related forgetfulness only — usually oriented, conversational, and able to follow his routines and engage in household discussions. Significant disorientation, evening confusion, or new inability to manage his pill schedule is not part of his outpatient baseline and would represent deviation.</w:t>
      </w:r>
    </w:p>
    <w:p>
      <w:pPr>
        <w:spacing w:before="160" w:after="60"/>
        <w:pBdr>
          <w:bottom w:val="single" w:sz="6" w:space="2" w:color="C9D4EA"/>
        </w:pBdr>
      </w:pPr>
      <w:r>
        <w:rPr>
          <w:rFonts w:ascii="Arial" w:hAnsi="Arial"/>
          <w:b/>
          <w:i w:val="0"/>
          <w:color w:val="4472C4"/>
          <w:sz w:val="20"/>
        </w:rPr>
        <w:t>ACTIVE PROBLEM LIST (OUTPATIENT)</w:t>
      </w:r>
    </w:p>
    <w:p>
      <w:pPr>
        <w:pStyle w:val="ListBullet"/>
        <w:spacing w:before="0" w:after="20"/>
      </w:pPr>
      <w:r>
        <w:rPr>
          <w:rFonts w:ascii="Arial" w:hAnsi="Arial"/>
          <w:b w:val="0"/>
          <w:i w:val="0"/>
          <w:color w:val="232830"/>
          <w:sz w:val="19"/>
        </w:rPr>
        <w:t>Heart failure with reduced ejection fraction</w:t>
      </w:r>
    </w:p>
    <w:p>
      <w:pPr>
        <w:pStyle w:val="ListBullet"/>
        <w:spacing w:before="0" w:after="20"/>
      </w:pPr>
      <w:r>
        <w:rPr>
          <w:rFonts w:ascii="Arial" w:hAnsi="Arial"/>
          <w:b w:val="0"/>
          <w:i w:val="0"/>
          <w:color w:val="232830"/>
          <w:sz w:val="19"/>
        </w:rPr>
        <w:t>Coronary artery disease, status post remote PCI / drug-eluting stent</w:t>
      </w:r>
    </w:p>
    <w:p>
      <w:pPr>
        <w:pStyle w:val="ListBullet"/>
        <w:spacing w:before="0" w:after="20"/>
      </w:pPr>
      <w:r>
        <w:rPr>
          <w:rFonts w:ascii="Arial" w:hAnsi="Arial"/>
          <w:b w:val="0"/>
          <w:i w:val="0"/>
          <w:color w:val="232830"/>
          <w:sz w:val="19"/>
        </w:rPr>
        <w:t>Essential hypertension</w:t>
      </w:r>
    </w:p>
    <w:p>
      <w:pPr>
        <w:pStyle w:val="ListBullet"/>
        <w:spacing w:before="0" w:after="20"/>
      </w:pPr>
      <w:r>
        <w:rPr>
          <w:rFonts w:ascii="Arial" w:hAnsi="Arial"/>
          <w:b w:val="0"/>
          <w:i w:val="0"/>
          <w:color w:val="232830"/>
          <w:sz w:val="19"/>
        </w:rPr>
        <w:t>Mixed hyperlipidemia</w:t>
      </w:r>
    </w:p>
    <w:p>
      <w:pPr>
        <w:pStyle w:val="ListBullet"/>
        <w:spacing w:before="0" w:after="20"/>
      </w:pPr>
      <w:r>
        <w:rPr>
          <w:rFonts w:ascii="Arial" w:hAnsi="Arial"/>
          <w:b w:val="0"/>
          <w:i w:val="0"/>
          <w:color w:val="232830"/>
          <w:sz w:val="19"/>
        </w:rPr>
        <w:t>Chronic kidney disease, stage 3</w:t>
      </w:r>
    </w:p>
    <w:p>
      <w:pPr>
        <w:pStyle w:val="ListBullet"/>
        <w:spacing w:before="0" w:after="20"/>
      </w:pPr>
      <w:r>
        <w:rPr>
          <w:rFonts w:ascii="Arial" w:hAnsi="Arial"/>
          <w:b w:val="0"/>
          <w:i w:val="0"/>
          <w:color w:val="232830"/>
          <w:sz w:val="19"/>
        </w:rPr>
        <w:t>Type 2 diabetes mellitus</w:t>
      </w:r>
    </w:p>
    <w:p>
      <w:pPr>
        <w:pStyle w:val="ListBullet"/>
        <w:spacing w:before="0" w:after="20"/>
      </w:pPr>
      <w:r>
        <w:rPr>
          <w:rFonts w:ascii="Arial" w:hAnsi="Arial"/>
          <w:b w:val="0"/>
          <w:i w:val="0"/>
          <w:color w:val="232830"/>
          <w:sz w:val="19"/>
        </w:rPr>
        <w:t>Diabetic peripheral neuropathy</w:t>
      </w:r>
    </w:p>
    <w:p>
      <w:pPr>
        <w:pStyle w:val="ListBullet"/>
        <w:spacing w:before="0" w:after="20"/>
      </w:pPr>
      <w:r>
        <w:rPr>
          <w:rFonts w:ascii="Arial" w:hAnsi="Arial"/>
          <w:b w:val="0"/>
          <w:i w:val="0"/>
          <w:color w:val="232830"/>
          <w:sz w:val="19"/>
        </w:rPr>
        <w:t>Obstructive sleep apnea (CPAP, adherence variable)</w:t>
      </w:r>
    </w:p>
    <w:p>
      <w:pPr>
        <w:pStyle w:val="ListBullet"/>
        <w:spacing w:before="0" w:after="20"/>
      </w:pPr>
      <w:r>
        <w:rPr>
          <w:rFonts w:ascii="Arial" w:hAnsi="Arial"/>
          <w:b w:val="0"/>
          <w:i w:val="0"/>
          <w:color w:val="232830"/>
          <w:sz w:val="19"/>
        </w:rPr>
        <w:t>Polymyalgia rheumatica — co-managed with Riverbend Rheumatology (Dr. Soren Halvek)</w:t>
      </w:r>
    </w:p>
    <w:p>
      <w:pPr>
        <w:pStyle w:val="ListBullet"/>
        <w:spacing w:before="0" w:after="20"/>
      </w:pPr>
      <w:r>
        <w:rPr>
          <w:rFonts w:ascii="Arial" w:hAnsi="Arial"/>
          <w:b w:val="0"/>
          <w:i w:val="0"/>
          <w:color w:val="232830"/>
          <w:sz w:val="19"/>
        </w:rPr>
        <w:t>Anemia of chronic kidney disease</w:t>
      </w:r>
    </w:p>
    <w:p>
      <w:pPr>
        <w:pStyle w:val="ListBullet"/>
        <w:spacing w:before="0" w:after="20"/>
      </w:pPr>
      <w:r>
        <w:rPr>
          <w:rFonts w:ascii="Arial" w:hAnsi="Arial"/>
          <w:b w:val="0"/>
          <w:i w:val="0"/>
          <w:color w:val="232830"/>
          <w:sz w:val="19"/>
        </w:rPr>
        <w:t>Osteoporosis / osteopenia in the setting of chronic steroid exposure</w:t>
      </w:r>
    </w:p>
    <w:p>
      <w:pPr>
        <w:pStyle w:val="ListBullet"/>
        <w:spacing w:before="0" w:after="20"/>
      </w:pPr>
      <w:r>
        <w:rPr>
          <w:rFonts w:ascii="Arial" w:hAnsi="Arial"/>
          <w:b w:val="0"/>
          <w:i w:val="0"/>
          <w:color w:val="232830"/>
          <w:sz w:val="19"/>
        </w:rPr>
        <w:t>Class I obesity</w:t>
      </w:r>
    </w:p>
    <w:p>
      <w:pPr>
        <w:pStyle w:val="ListBullet"/>
        <w:spacing w:before="0" w:after="20"/>
      </w:pPr>
      <w:r>
        <w:rPr>
          <w:rFonts w:ascii="Arial" w:hAnsi="Arial"/>
          <w:b w:val="0"/>
          <w:i w:val="0"/>
          <w:color w:val="232830"/>
          <w:sz w:val="19"/>
        </w:rPr>
        <w:t>Chronic GERD</w:t>
      </w:r>
    </w:p>
    <w:p>
      <w:pPr>
        <w:pStyle w:val="ListBullet"/>
        <w:spacing w:before="0" w:after="20"/>
      </w:pPr>
      <w:r>
        <w:rPr>
          <w:rFonts w:ascii="Arial" w:hAnsi="Arial"/>
          <w:b w:val="0"/>
          <w:i w:val="0"/>
          <w:color w:val="232830"/>
          <w:sz w:val="19"/>
        </w:rPr>
        <w:t>Chronic constipation tendency</w:t>
      </w:r>
    </w:p>
    <w:p>
      <w:pPr>
        <w:spacing w:before="160" w:after="60"/>
        <w:pBdr>
          <w:bottom w:val="single" w:sz="6" w:space="2" w:color="C9D4EA"/>
        </w:pBdr>
      </w:pPr>
      <w:r>
        <w:rPr>
          <w:rFonts w:ascii="Arial" w:hAnsi="Arial"/>
          <w:b/>
          <w:i w:val="0"/>
          <w:color w:val="4472C4"/>
          <w:sz w:val="20"/>
        </w:rPr>
        <w:t>BASELINE CLINICAL COMPARATOR ANCHORS</w:t>
      </w:r>
    </w:p>
    <w:p>
      <w:pPr>
        <w:spacing w:before="20" w:after="60"/>
      </w:pPr>
      <w:r>
        <w:rPr>
          <w:rFonts w:ascii="Arial" w:hAnsi="Arial"/>
          <w:b w:val="0"/>
          <w:i w:val="0"/>
          <w:color w:val="232830"/>
          <w:sz w:val="19"/>
        </w:rPr>
        <w:t>The following values describe Mr. Merrow's usual outpatient steady state and are intended as comparators only:</w:t>
      </w:r>
    </w:p>
    <w:p>
      <w:pPr>
        <w:pStyle w:val="ListBullet"/>
        <w:spacing w:before="0" w:after="20"/>
      </w:pPr>
      <w:r>
        <w:rPr>
          <w:rFonts w:ascii="Arial" w:hAnsi="Arial"/>
          <w:b/>
          <w:i w:val="0"/>
          <w:color w:val="232830"/>
          <w:sz w:val="19"/>
        </w:rPr>
        <w:t xml:space="preserve">Renal function: </w:t>
      </w:r>
      <w:r>
        <w:rPr>
          <w:rFonts w:ascii="Arial" w:hAnsi="Arial"/>
          <w:b w:val="0"/>
          <w:i w:val="0"/>
          <w:color w:val="232830"/>
          <w:sz w:val="19"/>
        </w:rPr>
        <w:t>baseline creatinine 1.6–1.8 mg/dL with corresponding eGFR approximately 40–50 mL/min/1.73 m², consistent with CKD stage 3.</w:t>
      </w:r>
    </w:p>
    <w:p>
      <w:pPr>
        <w:pStyle w:val="ListBullet"/>
        <w:spacing w:before="0" w:after="20"/>
      </w:pPr>
      <w:r>
        <w:rPr>
          <w:rFonts w:ascii="Arial" w:hAnsi="Arial"/>
          <w:b/>
          <w:i w:val="0"/>
          <w:color w:val="232830"/>
          <w:sz w:val="19"/>
        </w:rPr>
        <w:t xml:space="preserve">Hematology: </w:t>
      </w:r>
      <w:r>
        <w:rPr>
          <w:rFonts w:ascii="Arial" w:hAnsi="Arial"/>
          <w:b w:val="0"/>
          <w:i w:val="0"/>
          <w:color w:val="232830"/>
          <w:sz w:val="19"/>
        </w:rPr>
        <w:t>baseline hemoglobin 10.5–11.5 g/dL, consistent with anemia of CKD; no transfusion history.</w:t>
      </w:r>
    </w:p>
    <w:p>
      <w:pPr>
        <w:pStyle w:val="ListBullet"/>
        <w:spacing w:before="0" w:after="20"/>
      </w:pPr>
      <w:r>
        <w:rPr>
          <w:rFonts w:ascii="Arial" w:hAnsi="Arial"/>
          <w:b/>
          <w:i w:val="0"/>
          <w:color w:val="232830"/>
          <w:sz w:val="19"/>
        </w:rPr>
        <w:t xml:space="preserve">Glycemic control: </w:t>
      </w:r>
      <w:r>
        <w:rPr>
          <w:rFonts w:ascii="Arial" w:hAnsi="Arial"/>
          <w:b w:val="0"/>
          <w:i w:val="0"/>
          <w:color w:val="232830"/>
          <w:sz w:val="19"/>
        </w:rPr>
        <w:t>A1c trend 7.6–8.2% across recent outpatient measurements.</w:t>
      </w:r>
    </w:p>
    <w:p>
      <w:pPr>
        <w:pStyle w:val="ListBullet"/>
        <w:spacing w:before="0" w:after="20"/>
      </w:pPr>
      <w:r>
        <w:rPr>
          <w:rFonts w:ascii="Arial" w:hAnsi="Arial"/>
          <w:b/>
          <w:i w:val="0"/>
          <w:color w:val="232830"/>
          <w:sz w:val="19"/>
        </w:rPr>
        <w:t xml:space="preserve">Weight: </w:t>
      </w:r>
      <w:r>
        <w:rPr>
          <w:rFonts w:ascii="Arial" w:hAnsi="Arial"/>
          <w:b w:val="0"/>
          <w:i w:val="0"/>
          <w:color w:val="232830"/>
          <w:sz w:val="19"/>
        </w:rPr>
        <w:t>dry weight approximately 97 kg over the prior year.</w:t>
      </w:r>
    </w:p>
    <w:p>
      <w:pPr>
        <w:pStyle w:val="ListBullet"/>
        <w:spacing w:before="0" w:after="20"/>
      </w:pPr>
      <w:r>
        <w:rPr>
          <w:rFonts w:ascii="Arial" w:hAnsi="Arial"/>
          <w:b/>
          <w:i w:val="0"/>
          <w:color w:val="232830"/>
          <w:sz w:val="19"/>
        </w:rPr>
        <w:t xml:space="preserve">Hemodynamics: </w:t>
      </w:r>
      <w:r>
        <w:rPr>
          <w:rFonts w:ascii="Arial" w:hAnsi="Arial"/>
          <w:b w:val="0"/>
          <w:i w:val="0"/>
          <w:color w:val="232830"/>
          <w:sz w:val="19"/>
        </w:rPr>
        <w:t>blood pressures usually run in the low-normal range on his cardiorenal regimen; he generally does not tolerate aggressive intensification and has had prior visits notable for borderline systolics.</w:t>
      </w:r>
    </w:p>
    <w:p>
      <w:pPr>
        <w:spacing w:before="160" w:after="60"/>
        <w:pBdr>
          <w:bottom w:val="single" w:sz="6" w:space="2" w:color="C9D4EA"/>
        </w:pBdr>
      </w:pPr>
      <w:r>
        <w:rPr>
          <w:rFonts w:ascii="Arial" w:hAnsi="Arial"/>
          <w:b/>
          <w:i w:val="0"/>
          <w:color w:val="4472C4"/>
          <w:sz w:val="20"/>
        </w:rPr>
        <w:t>OUTPATIENT MEDICATION CONTINUITY CONTEXT</w:t>
      </w:r>
    </w:p>
    <w:p>
      <w:pPr>
        <w:spacing w:before="20" w:after="60"/>
      </w:pPr>
      <w:r>
        <w:rPr>
          <w:rFonts w:ascii="Arial" w:hAnsi="Arial"/>
          <w:b w:val="0"/>
          <w:i w:val="0"/>
          <w:color w:val="232830"/>
          <w:sz w:val="19"/>
        </w:rPr>
        <w:t>The patient's home medication regimen is maintained on his primary care list and includes chronic therapy for HFrEF/CAD (aspirin, atorvastatin, sacubitril/valsartan, carvedilol, furosemide, spironolactone), diabetes (metformin ER, empagliflozin, basal insulin glargine), neuropathy (gabapentin), anemia and bone health (ferrous sulfate, alendronate, calcium/vitamin D), GERD (pantoprazole), bowel regimen (PEG, senna), and nitroglycerin as a CAD rescue medication. Sacubitril/valsartan was substituted for an ACE inhibitor after a documented lisinopril cough.</w:t>
      </w:r>
    </w:p>
    <w:p>
      <w:pPr>
        <w:spacing w:before="20" w:after="60"/>
      </w:pPr>
      <w:r>
        <w:rPr>
          <w:rFonts w:ascii="Arial" w:hAnsi="Arial"/>
          <w:b w:val="0"/>
          <w:i w:val="0"/>
          <w:color w:val="232830"/>
          <w:sz w:val="19"/>
        </w:rPr>
        <w:t>Mr. Merrow also carries chronic prednisone exposure for PMR. Prednisone management is deferred to outpatient Rheumatology (Dr. Soren Halvek), who is the authoritative source for PMR taper intent. The primary care list reflects prior fills and historical instructions and should not be relied upon as the current taper directive.</w:t>
      </w:r>
    </w:p>
    <w:p>
      <w:pPr>
        <w:spacing w:before="160" w:after="60"/>
        <w:pBdr>
          <w:bottom w:val="single" w:sz="6" w:space="2" w:color="C9D4EA"/>
        </w:pBdr>
      </w:pPr>
      <w:r>
        <w:rPr>
          <w:rFonts w:ascii="Arial" w:hAnsi="Arial"/>
          <w:b/>
          <w:i w:val="0"/>
          <w:color w:val="4472C4"/>
          <w:sz w:val="20"/>
        </w:rPr>
        <w:t>CO-MANAGEMENT</w:t>
      </w:r>
    </w:p>
    <w:p>
      <w:pPr>
        <w:spacing w:before="20" w:after="60"/>
      </w:pPr>
      <w:r>
        <w:rPr>
          <w:rFonts w:ascii="Arial" w:hAnsi="Arial"/>
          <w:b w:val="0"/>
          <w:i w:val="0"/>
          <w:color w:val="232830"/>
          <w:sz w:val="19"/>
        </w:rPr>
        <w:t>Mr. Merrow is co-managed in the outpatient setting with:</w:t>
      </w:r>
    </w:p>
    <w:p>
      <w:pPr>
        <w:pStyle w:val="ListBullet"/>
        <w:spacing w:before="0" w:after="20"/>
      </w:pPr>
      <w:r>
        <w:rPr>
          <w:rFonts w:ascii="Arial" w:hAnsi="Arial"/>
          <w:b/>
          <w:i w:val="0"/>
          <w:color w:val="232830"/>
          <w:sz w:val="19"/>
        </w:rPr>
        <w:t xml:space="preserve">Cardiology: </w:t>
      </w:r>
      <w:r>
        <w:rPr>
          <w:rFonts w:ascii="Arial" w:hAnsi="Arial"/>
          <w:b w:val="0"/>
          <w:i w:val="0"/>
          <w:color w:val="232830"/>
          <w:sz w:val="19"/>
        </w:rPr>
        <w:t>HFrEF / CAD optimization</w:t>
      </w:r>
    </w:p>
    <w:p>
      <w:pPr>
        <w:pStyle w:val="ListBullet"/>
        <w:spacing w:before="0" w:after="20"/>
      </w:pPr>
      <w:r>
        <w:rPr>
          <w:rFonts w:ascii="Arial" w:hAnsi="Arial"/>
          <w:b/>
          <w:i w:val="0"/>
          <w:color w:val="232830"/>
          <w:sz w:val="19"/>
        </w:rPr>
        <w:t xml:space="preserve">Nephrology: </w:t>
      </w:r>
      <w:r>
        <w:rPr>
          <w:rFonts w:ascii="Arial" w:hAnsi="Arial"/>
          <w:b w:val="0"/>
          <w:i w:val="0"/>
          <w:color w:val="232830"/>
          <w:sz w:val="19"/>
        </w:rPr>
        <w:t>CKD stage 3 follow-up and renal-sensitive medication review</w:t>
      </w:r>
    </w:p>
    <w:p>
      <w:pPr>
        <w:pStyle w:val="ListBullet"/>
        <w:spacing w:before="0" w:after="20"/>
      </w:pPr>
      <w:r>
        <w:rPr>
          <w:rFonts w:ascii="Arial" w:hAnsi="Arial"/>
          <w:b/>
          <w:i w:val="0"/>
          <w:color w:val="232830"/>
          <w:sz w:val="19"/>
        </w:rPr>
        <w:t xml:space="preserve">Endocrinology: </w:t>
      </w:r>
      <w:r>
        <w:rPr>
          <w:rFonts w:ascii="Arial" w:hAnsi="Arial"/>
          <w:b w:val="0"/>
          <w:i w:val="0"/>
          <w:color w:val="232830"/>
          <w:sz w:val="19"/>
        </w:rPr>
        <w:t>HbA1c management and diabetes regimen oversight</w:t>
      </w:r>
    </w:p>
    <w:p>
      <w:pPr>
        <w:pStyle w:val="ListBullet"/>
        <w:spacing w:before="0" w:after="20"/>
      </w:pPr>
      <w:r>
        <w:rPr>
          <w:rFonts w:ascii="Arial" w:hAnsi="Arial"/>
          <w:b/>
          <w:i w:val="0"/>
          <w:color w:val="232830"/>
          <w:sz w:val="19"/>
        </w:rPr>
        <w:t xml:space="preserve">Rheumatology: </w:t>
      </w:r>
      <w:r>
        <w:rPr>
          <w:rFonts w:ascii="Arial" w:hAnsi="Arial"/>
          <w:b w:val="0"/>
          <w:i w:val="0"/>
          <w:color w:val="232830"/>
          <w:sz w:val="19"/>
        </w:rPr>
        <w:t>PMR with chronic steroid exposure; current prednisone status is held at the rheumatology level</w:t>
      </w:r>
    </w:p>
    <w:p>
      <w:pPr>
        <w:spacing w:before="20" w:after="60"/>
      </w:pPr>
      <w:r>
        <w:rPr>
          <w:rFonts w:ascii="Arial" w:hAnsi="Arial"/>
          <w:b w:val="0"/>
          <w:i w:val="0"/>
          <w:color w:val="232830"/>
          <w:sz w:val="19"/>
        </w:rPr>
        <w:t>Primary care coordinates appointments and integrates recommendations across these specialties.</w:t>
      </w:r>
    </w:p>
    <w:p>
      <w:pPr>
        <w:spacing w:before="160" w:after="60"/>
        <w:pBdr>
          <w:bottom w:val="single" w:sz="6" w:space="2" w:color="C9D4EA"/>
        </w:pBdr>
      </w:pPr>
      <w:r>
        <w:rPr>
          <w:rFonts w:ascii="Arial" w:hAnsi="Arial"/>
          <w:b/>
          <w:i w:val="0"/>
          <w:color w:val="4472C4"/>
          <w:sz w:val="20"/>
        </w:rPr>
        <w:t>PCP NOTE TO INPATIENT TEAM</w:t>
      </w:r>
    </w:p>
    <w:p>
      <w:pPr>
        <w:spacing w:before="20" w:after="60"/>
      </w:pPr>
      <w:r>
        <w:rPr>
          <w:rFonts w:ascii="Arial" w:hAnsi="Arial"/>
          <w:b w:val="0"/>
          <w:i w:val="0"/>
          <w:color w:val="232830"/>
          <w:sz w:val="19"/>
        </w:rPr>
        <w:t xml:space="preserve">The figures above describe outpatient steady state and longitudinal function. They are the patient's usual numbers, not his presenting numbers. </w:t>
      </w:r>
      <w:r>
        <w:rPr>
          <w:rFonts w:ascii="Arial" w:hAnsi="Arial"/>
          <w:b w:val="0"/>
          <w:i w:val="0"/>
          <w:color w:val="232830"/>
          <w:sz w:val="19"/>
        </w:rPr>
        <w:t>Pre-admission baseline anchors are comparators, not admission or hospital-course values.</w:t>
      </w:r>
    </w:p>
    <w:p>
      <w:pPr>
        <w:spacing w:before="280" w:after="0"/>
        <w:pBdr>
          <w:top w:val="single" w:sz="4" w:space="4" w:color="C9D4EA"/>
        </w:pBdr>
      </w:pPr>
      <w:r>
        <w:t>Electronically signed 05/18/2026</w:t>
      </w:r>
    </w:p>
    <w:p>
      <w:pPr>
        <w:spacing w:before="0" w:after="0"/>
      </w:pPr>
      <w:r>
        <w:rPr>
          <w:rFonts w:ascii="Arial" w:hAnsi="Arial"/>
          <w:b/>
          <w:i w:val="0"/>
          <w:color w:val="232830"/>
          <w:sz w:val="20"/>
        </w:rPr>
        <w:t>Talia Quenor, MD — Primary Care</w:t>
      </w:r>
    </w:p>
    <w:p>
      <w:pPr>
        <w:spacing w:before="0" w:after="160"/>
      </w:pPr>
      <w:r>
        <w:rPr>
          <w:rFonts w:ascii="Arial" w:hAnsi="Arial"/>
          <w:b w:val="0"/>
          <w:i w:val="0"/>
          <w:color w:val="5E6670"/>
          <w:sz w:val="17"/>
        </w:rPr>
        <w:t>Mercy Vale Primary Care — Harbor Crest Clinic  |  NPI 1962718304  |  (412) 555-0410</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