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112"/>
        <w:gridCol w:w="5112"/>
      </w:tblGrid>
      <w:tr>
        <w:tc>
          <w:tcPr>
            <w:tcW w:type="dxa" w:w="5112"/>
          </w:tcPr>
          <w:p>
            <w:r>
              <w:rPr>
                <w:rFonts w:ascii="Arial" w:hAnsi="Arial" w:cs="Arial"/>
                <w:b/>
                <w:i w:val="0"/>
                <w:color w:val="1F3864"/>
                <w:sz w:val="18"/>
              </w:rPr>
              <w:t>MERCY VALE REGIONAL MEDICAL CENTER</w:t>
            </w:r>
          </w:p>
        </w:tc>
        <w:tc>
          <w:tcPr>
            <w:tcW w:type="dxa" w:w="5112"/>
          </w:tcPr>
          <w:p>
            <w:pPr>
              <w:jc w:val="right"/>
            </w:pPr>
            <w:r>
              <w:rPr>
                <w:rFonts w:ascii="Arial" w:hAnsi="Arial" w:cs="Arial"/>
                <w:b w:val="0"/>
                <w:i w:val="0"/>
                <w:color w:val="595959"/>
                <w:sz w:val="15"/>
              </w:rPr>
              <w:t>Confidential · Printed 05/18/2026 1450</w:t>
            </w:r>
          </w:p>
        </w:tc>
      </w:tr>
    </w:tbl>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7668"/>
            <w:gridSpan w:val="3"/>
            <w:shd w:val="clear" w:fill="EDF1F7"/>
            <w:vAlign w:val="center"/>
          </w:tcPr>
          <w:p>
            <w:r>
              <w:rPr>
                <w:rFonts w:ascii="Arial" w:hAnsi="Arial" w:cs="Arial"/>
                <w:b/>
                <w:i w:val="0"/>
                <w:color w:val="1F3864"/>
                <w:sz w:val="24"/>
              </w:rPr>
              <w:t>KORVIN MERROW</w:t>
            </w:r>
          </w:p>
        </w:tc>
        <w:tc>
          <w:tcPr>
            <w:tcW w:type="dxa" w:w="2556"/>
            <w:shd w:val="clear" w:fill="EDF1F7"/>
            <w:vAlign w:val="center"/>
          </w:tcPr>
          <w:p>
            <w:pPr>
              <w:jc w:val="right"/>
            </w:pPr>
            <w:r>
              <w:rPr>
                <w:rFonts w:ascii="Arial" w:hAnsi="Arial" w:cs="Arial"/>
                <w:b/>
                <w:i w:val="0"/>
                <w:color w:val="1F3864"/>
                <w:sz w:val="18"/>
              </w:rPr>
              <w:t>MRN KM-6427819</w:t>
            </w:r>
          </w:p>
        </w:tc>
      </w:tr>
      <w:tr>
        <w:tc>
          <w:tcPr>
            <w:tcW w:type="dxa" w:w="2556"/>
            <w:shd w:val="clear" w:fill="EDF1F7"/>
            <w:vAlign w:val="center"/>
          </w:tcPr>
          <w:p>
            <w:r>
              <w:rPr>
                <w:rFonts w:ascii="Arial" w:hAnsi="Arial" w:cs="Arial"/>
                <w:b/>
                <w:i w:val="0"/>
                <w:color w:val="595959"/>
                <w:sz w:val="16"/>
              </w:rPr>
              <w:t>DOB</w:t>
            </w:r>
          </w:p>
        </w:tc>
        <w:tc>
          <w:tcPr>
            <w:tcW w:type="dxa" w:w="2556"/>
            <w:shd w:val="clear" w:fill="EDF1F7"/>
            <w:vAlign w:val="center"/>
          </w:tcPr>
          <w:p>
            <w:r>
              <w:rPr>
                <w:rFonts w:ascii="Arial" w:hAnsi="Arial" w:cs="Arial"/>
                <w:b w:val="0"/>
                <w:i w:val="0"/>
                <w:color w:val="000000"/>
                <w:sz w:val="17"/>
              </w:rPr>
              <w:t>02/18/1964 (62 yo) · Male</w:t>
            </w:r>
          </w:p>
        </w:tc>
        <w:tc>
          <w:tcPr>
            <w:tcW w:type="dxa" w:w="2556"/>
            <w:shd w:val="clear" w:fill="EDF1F7"/>
            <w:vAlign w:val="center"/>
          </w:tcPr>
          <w:p>
            <w:r>
              <w:rPr>
                <w:rFonts w:ascii="Arial" w:hAnsi="Arial" w:cs="Arial"/>
                <w:b/>
                <w:i w:val="0"/>
                <w:color w:val="595959"/>
                <w:sz w:val="16"/>
              </w:rPr>
              <w:t>Code Status</w:t>
            </w:r>
          </w:p>
        </w:tc>
        <w:tc>
          <w:tcPr>
            <w:tcW w:type="dxa" w:w="2556"/>
            <w:shd w:val="clear" w:fill="EDF1F7"/>
            <w:vAlign w:val="center"/>
          </w:tcPr>
          <w:p>
            <w:r>
              <w:rPr>
                <w:rFonts w:ascii="Arial" w:hAnsi="Arial" w:cs="Arial"/>
                <w:b w:val="0"/>
                <w:i w:val="0"/>
                <w:color w:val="000000"/>
                <w:sz w:val="17"/>
              </w:rPr>
              <w:t>Full Code</w:t>
            </w:r>
          </w:p>
        </w:tc>
      </w:tr>
      <w:tr>
        <w:tc>
          <w:tcPr>
            <w:tcW w:type="dxa" w:w="2556"/>
            <w:shd w:val="clear" w:fill="EDF1F7"/>
            <w:vAlign w:val="center"/>
          </w:tcPr>
          <w:p>
            <w:r>
              <w:rPr>
                <w:rFonts w:ascii="Arial" w:hAnsi="Arial" w:cs="Arial"/>
                <w:b/>
                <w:i w:val="0"/>
                <w:color w:val="595959"/>
                <w:sz w:val="16"/>
              </w:rPr>
              <w:t>Allergies</w:t>
            </w:r>
          </w:p>
        </w:tc>
        <w:tc>
          <w:tcPr>
            <w:tcW w:type="dxa" w:w="2556"/>
            <w:shd w:val="clear" w:fill="EDF1F7"/>
            <w:vAlign w:val="center"/>
          </w:tcPr>
          <w:p>
            <w:r>
              <w:rPr>
                <w:rFonts w:ascii="Arial" w:hAnsi="Arial" w:cs="Arial"/>
                <w:b w:val="0"/>
                <w:i w:val="0"/>
                <w:color w:val="000000"/>
                <w:sz w:val="17"/>
              </w:rPr>
              <w:t>Lisinopril (cough)</w:t>
            </w:r>
          </w:p>
        </w:tc>
        <w:tc>
          <w:tcPr>
            <w:tcW w:type="dxa" w:w="2556"/>
            <w:shd w:val="clear" w:fill="EDF1F7"/>
            <w:vAlign w:val="center"/>
          </w:tcPr>
          <w:p>
            <w:r>
              <w:rPr>
                <w:rFonts w:ascii="Arial" w:hAnsi="Arial" w:cs="Arial"/>
                <w:b/>
                <w:i w:val="0"/>
                <w:color w:val="595959"/>
                <w:sz w:val="16"/>
              </w:rPr>
              <w:t>Admit / HD</w:t>
            </w:r>
          </w:p>
        </w:tc>
        <w:tc>
          <w:tcPr>
            <w:tcW w:type="dxa" w:w="2556"/>
            <w:shd w:val="clear" w:fill="EDF1F7"/>
            <w:vAlign w:val="center"/>
          </w:tcPr>
          <w:p>
            <w:r>
              <w:rPr>
                <w:rFonts w:ascii="Arial" w:hAnsi="Arial" w:cs="Arial"/>
                <w:b w:val="0"/>
                <w:i w:val="0"/>
                <w:color w:val="000000"/>
                <w:sz w:val="17"/>
              </w:rPr>
              <w:t>05/18/2026 · HD1</w:t>
            </w:r>
          </w:p>
        </w:tc>
      </w:tr>
      <w:tr>
        <w:tc>
          <w:tcPr>
            <w:tcW w:type="dxa" w:w="2556"/>
            <w:shd w:val="clear" w:fill="EDF1F7"/>
            <w:vAlign w:val="center"/>
          </w:tcPr>
          <w:p>
            <w:r>
              <w:rPr>
                <w:rFonts w:ascii="Arial" w:hAnsi="Arial" w:cs="Arial"/>
                <w:b/>
                <w:i w:val="0"/>
                <w:color w:val="595959"/>
                <w:sz w:val="16"/>
              </w:rPr>
              <w:t>Attending / Service</w:t>
            </w:r>
          </w:p>
        </w:tc>
        <w:tc>
          <w:tcPr>
            <w:tcW w:type="dxa" w:w="2556"/>
            <w:shd w:val="clear" w:fill="EDF1F7"/>
            <w:vAlign w:val="center"/>
          </w:tcPr>
          <w:p>
            <w:r>
              <w:rPr>
                <w:rFonts w:ascii="Arial" w:hAnsi="Arial" w:cs="Arial"/>
                <w:b w:val="0"/>
                <w:i w:val="0"/>
                <w:color w:val="000000"/>
                <w:sz w:val="17"/>
              </w:rPr>
              <w:t>Elian Vossmere, MD · Hospitalist</w:t>
            </w:r>
          </w:p>
        </w:tc>
        <w:tc>
          <w:tcPr>
            <w:tcW w:type="dxa" w:w="2556"/>
            <w:shd w:val="clear" w:fill="EDF1F7"/>
            <w:vAlign w:val="center"/>
          </w:tcPr>
          <w:p>
            <w:r>
              <w:rPr>
                <w:rFonts w:ascii="Arial" w:hAnsi="Arial" w:cs="Arial"/>
                <w:b/>
                <w:i w:val="0"/>
                <w:color w:val="595959"/>
                <w:sz w:val="16"/>
              </w:rPr>
              <w:t>Location / CSN</w:t>
            </w:r>
          </w:p>
        </w:tc>
        <w:tc>
          <w:tcPr>
            <w:tcW w:type="dxa" w:w="2556"/>
            <w:shd w:val="clear" w:fill="EDF1F7"/>
            <w:vAlign w:val="center"/>
          </w:tcPr>
          <w:p>
            <w:r>
              <w:rPr>
                <w:rFonts w:ascii="Arial" w:hAnsi="Arial" w:cs="Arial"/>
                <w:b w:val="0"/>
                <w:i w:val="0"/>
                <w:color w:val="000000"/>
                <w:sz w:val="17"/>
              </w:rPr>
              <w:t>5 West Medicine · CSN-204418827</w:t>
            </w:r>
          </w:p>
        </w:tc>
      </w:tr>
    </w:tbl>
    <w:p>
      <w:pPr>
        <w:spacing w:after="20"/>
      </w:pPr>
      <w:r>
        <w:rPr>
          <w:rFonts w:ascii="Arial" w:hAnsi="Arial" w:cs="Arial"/>
          <w:b/>
          <w:i w:val="0"/>
          <w:color w:val="1F3864"/>
          <w:sz w:val="26"/>
        </w:rPr>
        <w:t>History &amp; Physical</w:t>
      </w:r>
    </w:p>
    <w:p>
      <w:pPr>
        <w:spacing w:after="120"/>
      </w:pPr>
      <w:r>
        <w:rPr>
          <w:rFonts w:ascii="Arial" w:hAnsi="Arial" w:cs="Arial"/>
          <w:b w:val="0"/>
          <w:i w:val="0"/>
          <w:color w:val="595959"/>
          <w:sz w:val="16"/>
        </w:rPr>
        <w:t>Author: Elian Vossmere, MD  |  Service: Hospitalist  |  Date of Service: 05/18/2026 1432  |  Status: Signed</w:t>
      </w:r>
    </w:p>
    <w:p>
      <w:pPr>
        <w:spacing w:before="160" w:after="60"/>
        <w:pBdr>
          <w:bottom w:val="single" w:sz="4" w:color="BFBFBF" w:space="2"/>
        </w:pBdr>
      </w:pPr>
      <w:r>
        <w:rPr>
          <w:rFonts w:ascii="Arial" w:hAnsi="Arial" w:cs="Arial"/>
          <w:b/>
          <w:i w:val="0"/>
          <w:color w:val="1F3864"/>
          <w:sz w:val="20"/>
        </w:rPr>
        <w:t>REASON FOR ADMISSION</w:t>
      </w:r>
    </w:p>
    <w:p>
      <w:pPr>
        <w:spacing w:after="80"/>
      </w:pPr>
      <w:r>
        <w:rPr>
          <w:rFonts w:ascii="Arial" w:hAnsi="Arial" w:cs="Arial"/>
          <w:b w:val="0"/>
          <w:i w:val="0"/>
          <w:color w:val="000000"/>
          <w:sz w:val="19"/>
        </w:rPr>
        <w:t>Suspected urinary-source infection / sepsis physiology with altered baseline mental status, progressive weakness, poor oral intake, near-fall/lightheadedness, and AKI-on-CKD risk in a medically complex patient with HFrEF/CAD, CKD stage 3, type 2 diabetes, PMR with unclear prednisone taper history, and polypharmacy.</w:t>
      </w:r>
    </w:p>
    <w:p>
      <w:pPr>
        <w:spacing w:before="160" w:after="60"/>
        <w:pBdr>
          <w:bottom w:val="single" w:sz="4" w:color="BFBFBF" w:space="2"/>
        </w:pBdr>
      </w:pPr>
      <w:r>
        <w:rPr>
          <w:rFonts w:ascii="Arial" w:hAnsi="Arial" w:cs="Arial"/>
          <w:b/>
          <w:i w:val="0"/>
          <w:color w:val="1F3864"/>
          <w:sz w:val="20"/>
        </w:rPr>
        <w:t>HISTORY OF PRESENT ILLNESS</w:t>
      </w:r>
    </w:p>
    <w:p>
      <w:pPr>
        <w:spacing w:after="80"/>
      </w:pPr>
      <w:r>
        <w:rPr>
          <w:rFonts w:ascii="Arial" w:hAnsi="Arial" w:cs="Arial"/>
          <w:b w:val="0"/>
          <w:i w:val="0"/>
          <w:color w:val="000000"/>
          <w:sz w:val="19"/>
        </w:rPr>
        <w:t>Korvin Merrow is a 62-year-old man admitted from the ED after family brought him in for progressive weakness, poor oral intake, lightheadedness, near-fall, and confusion compared with baseline.</w:t>
      </w:r>
    </w:p>
    <w:p>
      <w:pPr>
        <w:spacing w:after="80"/>
      </w:pPr>
      <w:r>
        <w:rPr>
          <w:rFonts w:ascii="Arial" w:hAnsi="Arial" w:cs="Arial"/>
          <w:b w:val="0"/>
          <w:i w:val="0"/>
          <w:color w:val="000000"/>
          <w:sz w:val="19"/>
        </w:rPr>
        <w:t>Family describes about 3 weeks of decline: less activity, reduced stamina, reduced food and fluid intake, increasing dependence, possible urinary symptoms, medication-management mistakes, and slower thinking. Today he nearly fell at home while standing/walking. Family prevented a fall and reports no head strike or loss of consciousness.</w:t>
      </w:r>
    </w:p>
    <w:p>
      <w:pPr>
        <w:spacing w:after="80"/>
      </w:pPr>
      <w:r>
        <w:rPr>
          <w:rFonts w:ascii="Arial" w:hAnsi="Arial" w:cs="Arial"/>
          <w:b w:val="0"/>
          <w:i w:val="0"/>
          <w:color w:val="000000"/>
          <w:sz w:val="19"/>
        </w:rPr>
        <w:t>Patient reports fatigue and lightheadedness. He is able to answer questions but is slow and not fully reliable on medication details. He gives inconsistent history regarding prednisone use for PMR. He says he has been “tapering” but cannot clearly state the current dose or whether he has taken it consistently.</w:t>
      </w:r>
    </w:p>
    <w:p>
      <w:pPr>
        <w:spacing w:before="160" w:after="60"/>
        <w:pBdr>
          <w:bottom w:val="single" w:sz="4" w:color="BFBFBF" w:space="2"/>
        </w:pBdr>
      </w:pPr>
      <w:r>
        <w:rPr>
          <w:rFonts w:ascii="Arial" w:hAnsi="Arial" w:cs="Arial"/>
          <w:b/>
          <w:i w:val="0"/>
          <w:color w:val="1F3864"/>
          <w:sz w:val="20"/>
        </w:rPr>
        <w:t>BASELINE FUNCTIONAL AND COGNITIVE STATUS</w:t>
      </w:r>
    </w:p>
    <w:p>
      <w:pPr>
        <w:spacing w:after="80"/>
      </w:pPr>
      <w:r>
        <w:rPr>
          <w:rFonts w:ascii="Arial" w:hAnsi="Arial" w:cs="Arial"/>
          <w:b w:val="0"/>
          <w:i w:val="0"/>
          <w:color w:val="000000"/>
          <w:sz w:val="19"/>
        </w:rPr>
        <w:t>Per family, Korvin lives with family and is usually independent with basic activities, though slower due to chronic illness. He occasionally uses a cane for longer distances or bad days. Baseline cognition is mild age-related forgetfulness only; he is usually oriented and able to participate in routines. Family provides oversight for a complex medication regimen. Current weakness, medication mistakes, and cognitive slowing are a meaningful deviation from baseline.</w:t>
      </w:r>
    </w:p>
    <w:p>
      <w:pPr>
        <w:spacing w:before="160" w:after="60"/>
        <w:pBdr>
          <w:bottom w:val="single" w:sz="4" w:color="BFBFBF" w:space="2"/>
        </w:pBdr>
      </w:pPr>
      <w:r>
        <w:rPr>
          <w:rFonts w:ascii="Arial" w:hAnsi="Arial" w:cs="Arial"/>
          <w:b/>
          <w:i w:val="0"/>
          <w:color w:val="1F3864"/>
          <w:sz w:val="20"/>
        </w:rPr>
        <w:t>PAST MEDICAL HISTORY</w:t>
      </w:r>
    </w:p>
    <w:p>
      <w:pPr>
        <w:pStyle w:val="ListBullet"/>
        <w:spacing w:after="20"/>
      </w:pPr>
      <w:r>
        <w:rPr>
          <w:rFonts w:ascii="Arial" w:hAnsi="Arial" w:cs="Arial"/>
          <w:b w:val="0"/>
          <w:i w:val="0"/>
          <w:color w:val="000000"/>
          <w:sz w:val="19"/>
        </w:rPr>
        <w:t>HFrEF</w:t>
      </w:r>
    </w:p>
    <w:p>
      <w:pPr>
        <w:pStyle w:val="ListBullet"/>
        <w:spacing w:after="20"/>
      </w:pPr>
      <w:r>
        <w:rPr>
          <w:rFonts w:ascii="Arial" w:hAnsi="Arial" w:cs="Arial"/>
          <w:b w:val="0"/>
          <w:i w:val="0"/>
          <w:color w:val="000000"/>
          <w:sz w:val="19"/>
        </w:rPr>
        <w:t>Coronary artery disease with remote PCI/stent</w:t>
      </w:r>
    </w:p>
    <w:p>
      <w:pPr>
        <w:pStyle w:val="ListBullet"/>
        <w:spacing w:after="20"/>
      </w:pPr>
      <w:r>
        <w:rPr>
          <w:rFonts w:ascii="Arial" w:hAnsi="Arial" w:cs="Arial"/>
          <w:b w:val="0"/>
          <w:i w:val="0"/>
          <w:color w:val="000000"/>
          <w:sz w:val="19"/>
        </w:rPr>
        <w:t>Hypertension</w:t>
      </w:r>
    </w:p>
    <w:p>
      <w:pPr>
        <w:pStyle w:val="ListBullet"/>
        <w:spacing w:after="20"/>
      </w:pPr>
      <w:r>
        <w:rPr>
          <w:rFonts w:ascii="Arial" w:hAnsi="Arial" w:cs="Arial"/>
          <w:b w:val="0"/>
          <w:i w:val="0"/>
          <w:color w:val="000000"/>
          <w:sz w:val="19"/>
        </w:rPr>
        <w:t>Hyperlipidemia</w:t>
      </w:r>
    </w:p>
    <w:p>
      <w:pPr>
        <w:pStyle w:val="ListBullet"/>
        <w:spacing w:after="20"/>
      </w:pPr>
      <w:r>
        <w:rPr>
          <w:rFonts w:ascii="Arial" w:hAnsi="Arial" w:cs="Arial"/>
          <w:b w:val="0"/>
          <w:i w:val="0"/>
          <w:color w:val="000000"/>
          <w:sz w:val="19"/>
        </w:rPr>
        <w:t>CKD stage 3</w:t>
      </w:r>
    </w:p>
    <w:p>
      <w:pPr>
        <w:pStyle w:val="ListBullet"/>
        <w:spacing w:after="20"/>
      </w:pPr>
      <w:r>
        <w:rPr>
          <w:rFonts w:ascii="Arial" w:hAnsi="Arial" w:cs="Arial"/>
          <w:b w:val="0"/>
          <w:i w:val="0"/>
          <w:color w:val="000000"/>
          <w:sz w:val="19"/>
        </w:rPr>
        <w:t>Type 2 diabetes mellitus</w:t>
      </w:r>
    </w:p>
    <w:p>
      <w:pPr>
        <w:pStyle w:val="ListBullet"/>
        <w:spacing w:after="20"/>
      </w:pPr>
      <w:r>
        <w:rPr>
          <w:rFonts w:ascii="Arial" w:hAnsi="Arial" w:cs="Arial"/>
          <w:b w:val="0"/>
          <w:i w:val="0"/>
          <w:color w:val="000000"/>
          <w:sz w:val="19"/>
        </w:rPr>
        <w:t>Diabetic peripheral neuropathy</w:t>
      </w:r>
    </w:p>
    <w:p>
      <w:pPr>
        <w:pStyle w:val="ListBullet"/>
        <w:spacing w:after="20"/>
      </w:pPr>
      <w:r>
        <w:rPr>
          <w:rFonts w:ascii="Arial" w:hAnsi="Arial" w:cs="Arial"/>
          <w:b w:val="0"/>
          <w:i w:val="0"/>
          <w:color w:val="000000"/>
          <w:sz w:val="19"/>
        </w:rPr>
        <w:t>Obstructive sleep apnea</w:t>
      </w:r>
    </w:p>
    <w:p>
      <w:pPr>
        <w:pStyle w:val="ListBullet"/>
        <w:spacing w:after="20"/>
      </w:pPr>
      <w:r>
        <w:rPr>
          <w:rFonts w:ascii="Arial" w:hAnsi="Arial" w:cs="Arial"/>
          <w:b w:val="0"/>
          <w:i w:val="0"/>
          <w:color w:val="000000"/>
          <w:sz w:val="19"/>
        </w:rPr>
        <w:t>Polymyalgia rheumatica with chronic prednisone exposure and recent taper uncertainty</w:t>
      </w:r>
    </w:p>
    <w:p>
      <w:pPr>
        <w:pStyle w:val="ListBullet"/>
        <w:spacing w:after="20"/>
      </w:pPr>
      <w:r>
        <w:rPr>
          <w:rFonts w:ascii="Arial" w:hAnsi="Arial" w:cs="Arial"/>
          <w:b w:val="0"/>
          <w:i w:val="0"/>
          <w:color w:val="000000"/>
          <w:sz w:val="19"/>
        </w:rPr>
        <w:t>Anemia of CKD</w:t>
      </w:r>
    </w:p>
    <w:p>
      <w:pPr>
        <w:pStyle w:val="ListBullet"/>
        <w:spacing w:after="20"/>
      </w:pPr>
      <w:r>
        <w:rPr>
          <w:rFonts w:ascii="Arial" w:hAnsi="Arial" w:cs="Arial"/>
          <w:b w:val="0"/>
          <w:i w:val="0"/>
          <w:color w:val="000000"/>
          <w:sz w:val="19"/>
        </w:rPr>
        <w:t>Osteoporosis/osteopenia from chronic steroid exposure</w:t>
      </w:r>
    </w:p>
    <w:p>
      <w:pPr>
        <w:pStyle w:val="ListBullet"/>
        <w:spacing w:after="20"/>
      </w:pPr>
      <w:r>
        <w:rPr>
          <w:rFonts w:ascii="Arial" w:hAnsi="Arial" w:cs="Arial"/>
          <w:b w:val="0"/>
          <w:i w:val="0"/>
          <w:color w:val="000000"/>
          <w:sz w:val="19"/>
        </w:rPr>
        <w:t>Class I obesity</w:t>
      </w:r>
    </w:p>
    <w:p>
      <w:pPr>
        <w:pStyle w:val="ListBullet"/>
        <w:spacing w:after="20"/>
      </w:pPr>
      <w:r>
        <w:rPr>
          <w:rFonts w:ascii="Arial" w:hAnsi="Arial" w:cs="Arial"/>
          <w:b w:val="0"/>
          <w:i w:val="0"/>
          <w:color w:val="000000"/>
          <w:sz w:val="19"/>
        </w:rPr>
        <w:t>Chronic GERD / acid-suppression indication</w:t>
      </w:r>
    </w:p>
    <w:p>
      <w:pPr>
        <w:pStyle w:val="ListBullet"/>
        <w:spacing w:after="20"/>
      </w:pPr>
      <w:r>
        <w:rPr>
          <w:rFonts w:ascii="Arial" w:hAnsi="Arial" w:cs="Arial"/>
          <w:b w:val="0"/>
          <w:i w:val="0"/>
          <w:color w:val="000000"/>
          <w:sz w:val="19"/>
        </w:rPr>
        <w:t>Chronic constipation tendency</w:t>
      </w:r>
    </w:p>
    <w:p>
      <w:pPr>
        <w:spacing w:before="160" w:after="60"/>
        <w:pBdr>
          <w:bottom w:val="single" w:sz="4" w:color="BFBFBF" w:space="2"/>
        </w:pBdr>
      </w:pPr>
      <w:r>
        <w:rPr>
          <w:rFonts w:ascii="Arial" w:hAnsi="Arial" w:cs="Arial"/>
          <w:b/>
          <w:i w:val="0"/>
          <w:color w:val="1F3864"/>
          <w:sz w:val="20"/>
        </w:rPr>
        <w:t>SURGICAL / PROCEDURAL HISTORY</w:t>
      </w:r>
    </w:p>
    <w:p>
      <w:pPr>
        <w:spacing w:after="80"/>
      </w:pPr>
      <w:r>
        <w:rPr>
          <w:rFonts w:ascii="Arial" w:hAnsi="Arial" w:cs="Arial"/>
          <w:b w:val="0"/>
          <w:i w:val="0"/>
          <w:color w:val="000000"/>
          <w:sz w:val="19"/>
        </w:rPr>
        <w:t>Remote PCI with coronary stent placement. Remote diagnostic sleep study confirming OSA. No CABG, pacemaker/ICD/CRT, dialysis access, major orthopedic repair, amputation, or temporal artery biopsy reported.</w:t>
      </w:r>
    </w:p>
    <w:p>
      <w:pPr>
        <w:spacing w:before="160" w:after="60"/>
        <w:pBdr>
          <w:bottom w:val="single" w:sz="4" w:color="BFBFBF" w:space="2"/>
        </w:pBdr>
      </w:pPr>
      <w:r>
        <w:rPr>
          <w:rFonts w:ascii="Arial" w:hAnsi="Arial" w:cs="Arial"/>
          <w:b/>
          <w:i w:val="0"/>
          <w:color w:val="1F3864"/>
          <w:sz w:val="20"/>
        </w:rPr>
        <w:t>HOME MEDICATIONS (REPORTED — PENDING PHARMACY VERIFICATION)</w:t>
      </w:r>
    </w:p>
    <w:p>
      <w:pPr>
        <w:spacing w:after="80"/>
      </w:pPr>
      <w:r>
        <w:rPr>
          <w:rFonts w:ascii="Arial" w:hAnsi="Arial" w:cs="Arial"/>
          <w:b w:val="0"/>
          <w:i/>
          <w:color w:val="595959"/>
          <w:sz w:val="18"/>
        </w:rPr>
        <w:t>Medication history is incomplete at admission and requires pharmacy verification. Reported from medication bag and family report. Doses not reliably confirmed at admission interview; prednisone dose/taper status uncertain.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45"/>
        <w:gridCol w:w="2045"/>
        <w:gridCol w:w="2045"/>
        <w:gridCol w:w="2045"/>
        <w:gridCol w:w="2045"/>
      </w:tblGrid>
      <w:tr>
        <w:tc>
          <w:tcPr>
            <w:tcW w:type="dxa" w:w="2045"/>
            <w:shd w:val="clear" w:fill="DCE6F1"/>
          </w:tcPr>
          <w:p>
            <w:r>
              <w:rPr>
                <w:rFonts w:ascii="Arial" w:hAnsi="Arial" w:cs="Arial"/>
                <w:b/>
                <w:i w:val="0"/>
                <w:color w:val="1F3864"/>
                <w:sz w:val="17"/>
              </w:rPr>
              <w:t>Medication</w:t>
            </w:r>
          </w:p>
        </w:tc>
        <w:tc>
          <w:tcPr>
            <w:tcW w:type="dxa" w:w="2045"/>
            <w:shd w:val="clear" w:fill="DCE6F1"/>
          </w:tcPr>
          <w:p>
            <w:r>
              <w:rPr>
                <w:rFonts w:ascii="Arial" w:hAnsi="Arial" w:cs="Arial"/>
                <w:b/>
                <w:i w:val="0"/>
                <w:color w:val="1F3864"/>
                <w:sz w:val="17"/>
              </w:rPr>
              <w:t>Dose</w:t>
            </w:r>
          </w:p>
        </w:tc>
        <w:tc>
          <w:tcPr>
            <w:tcW w:type="dxa" w:w="2045"/>
            <w:shd w:val="clear" w:fill="DCE6F1"/>
          </w:tcPr>
          <w:p>
            <w:r>
              <w:rPr>
                <w:rFonts w:ascii="Arial" w:hAnsi="Arial" w:cs="Arial"/>
                <w:b/>
                <w:i w:val="0"/>
                <w:color w:val="1F3864"/>
                <w:sz w:val="17"/>
              </w:rPr>
              <w:t>Route</w:t>
            </w:r>
          </w:p>
        </w:tc>
        <w:tc>
          <w:tcPr>
            <w:tcW w:type="dxa" w:w="2045"/>
            <w:shd w:val="clear" w:fill="DCE6F1"/>
          </w:tcPr>
          <w:p>
            <w:r>
              <w:rPr>
                <w:rFonts w:ascii="Arial" w:hAnsi="Arial" w:cs="Arial"/>
                <w:b/>
                <w:i w:val="0"/>
                <w:color w:val="1F3864"/>
                <w:sz w:val="17"/>
              </w:rPr>
              <w:t>Frequency</w:t>
            </w:r>
          </w:p>
        </w:tc>
        <w:tc>
          <w:tcPr>
            <w:tcW w:type="dxa" w:w="2045"/>
            <w:shd w:val="clear" w:fill="DCE6F1"/>
          </w:tcPr>
          <w:p>
            <w:r>
              <w:rPr>
                <w:rFonts w:ascii="Arial" w:hAnsi="Arial" w:cs="Arial"/>
                <w:b/>
                <w:i w:val="0"/>
                <w:color w:val="1F3864"/>
                <w:sz w:val="17"/>
              </w:rPr>
              <w:t>Source / Status</w:t>
            </w:r>
          </w:p>
        </w:tc>
      </w:tr>
      <w:tr>
        <w:tc>
          <w:tcPr>
            <w:tcW w:type="dxa" w:w="2045"/>
          </w:tcPr>
          <w:p>
            <w:r>
              <w:rPr>
                <w:rFonts w:ascii="Arial" w:hAnsi="Arial" w:cs="Arial"/>
                <w:b w:val="0"/>
                <w:i w:val="0"/>
                <w:color w:val="000000"/>
                <w:sz w:val="16"/>
              </w:rPr>
              <w:t>Sacubitril/valsartan</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Carvedilol</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Furosemide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Spironolactone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Empagliflozin</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Aspirin</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Atorvastatin</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Nitroglycerin (rescue)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Metformin ER</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Insulin glargine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Prednisone</w:t>
            </w:r>
          </w:p>
        </w:tc>
        <w:tc>
          <w:tcPr>
            <w:tcW w:type="dxa" w:w="2045"/>
          </w:tcPr>
          <w:p>
            <w:r>
              <w:rPr>
                <w:rFonts w:ascii="Arial" w:hAnsi="Arial" w:cs="Arial"/>
                <w:b w:val="0"/>
                <w:i/>
                <w:color w:val="000000"/>
                <w:sz w:val="16"/>
              </w:rPr>
              <w:t>Uncertain</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Gabapentin</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Acetaminophen</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Pantoprazole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Ferrous sulfate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Alendronate</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Calcium / vitamin D</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Cholecalciferol</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Polyethylene glycol</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r>
        <w:tc>
          <w:tcPr>
            <w:tcW w:type="dxa" w:w="2045"/>
          </w:tcPr>
          <w:p>
            <w:r>
              <w:rPr>
                <w:rFonts w:ascii="Arial" w:hAnsi="Arial" w:cs="Arial"/>
                <w:b w:val="0"/>
                <w:i w:val="0"/>
                <w:color w:val="000000"/>
                <w:sz w:val="16"/>
              </w:rPr>
              <w:t>Senna</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PO</w:t>
            </w:r>
          </w:p>
        </w:tc>
        <w:tc>
          <w:tcPr>
            <w:tcW w:type="dxa" w:w="2045"/>
          </w:tcPr>
          <w:p>
            <w:r>
              <w:rPr>
                <w:rFonts w:ascii="Arial" w:hAnsi="Arial" w:cs="Arial"/>
                <w:b w:val="0"/>
                <w:i/>
                <w:color w:val="000000"/>
                <w:sz w:val="16"/>
              </w:rPr>
              <w:t>Unverified</w:t>
            </w:r>
          </w:p>
        </w:tc>
        <w:tc>
          <w:tcPr>
            <w:tcW w:type="dxa" w:w="2045"/>
          </w:tcPr>
          <w:p>
            <w:r>
              <w:rPr>
                <w:rFonts w:ascii="Arial" w:hAnsi="Arial" w:cs="Arial"/>
                <w:b w:val="0"/>
                <w:i w:val="0"/>
                <w:color w:val="000000"/>
                <w:sz w:val="16"/>
              </w:rPr>
              <w:t>Family/med bag — pending pharmacy</w:t>
            </w:r>
          </w:p>
        </w:tc>
      </w:tr>
    </w:tbl>
    <w:p>
      <w:pPr>
        <w:spacing w:before="160" w:after="60"/>
        <w:pBdr>
          <w:bottom w:val="single" w:sz="4" w:color="BFBFBF" w:space="2"/>
        </w:pBdr>
      </w:pPr>
      <w:r>
        <w:rPr>
          <w:rFonts w:ascii="Arial" w:hAnsi="Arial" w:cs="Arial"/>
          <w:b/>
          <w:i w:val="0"/>
          <w:color w:val="1F3864"/>
          <w:sz w:val="20"/>
        </w:rPr>
        <w:t>ALLERGIES</w:t>
      </w:r>
    </w:p>
    <w:p>
      <w:pPr>
        <w:spacing w:after="80"/>
      </w:pPr>
      <w:r>
        <w:rPr>
          <w:rFonts w:ascii="Arial" w:hAnsi="Arial" w:cs="Arial"/>
          <w:b w:val="0"/>
          <w:i w:val="0"/>
          <w:color w:val="000000"/>
          <w:sz w:val="19"/>
        </w:rPr>
        <w:t>Lisinopril — cough (ACE-inhibitor intolerance).</w:t>
      </w:r>
    </w:p>
    <w:p>
      <w:pPr>
        <w:spacing w:before="160" w:after="60"/>
        <w:pBdr>
          <w:bottom w:val="single" w:sz="4" w:color="BFBFBF" w:space="2"/>
        </w:pBdr>
      </w:pPr>
      <w:r>
        <w:rPr>
          <w:rFonts w:ascii="Arial" w:hAnsi="Arial" w:cs="Arial"/>
          <w:b/>
          <w:i w:val="0"/>
          <w:color w:val="1F3864"/>
          <w:sz w:val="20"/>
        </w:rPr>
        <w:t>PHYSICAL EXAM</w:t>
      </w:r>
    </w:p>
    <w:p>
      <w:pPr>
        <w:spacing w:after="80"/>
      </w:pPr>
      <w:r>
        <w:rPr>
          <w:rFonts w:ascii="Arial" w:hAnsi="Arial" w:cs="Arial"/>
          <w:b w:val="0"/>
          <w:i w:val="0"/>
          <w:color w:val="000000"/>
          <w:sz w:val="19"/>
        </w:rPr>
        <w:t>Admission vital signs recorded in the nursing flowsheet (see Flowsheet, FI-W12). Bedside examination documented separately; no acute focal deficit reported by ED at handoff. Findings to be reassessed on inpatient rounds.</w:t>
      </w:r>
    </w:p>
    <w:p>
      <w:pPr>
        <w:spacing w:before="160" w:after="60"/>
        <w:pBdr>
          <w:bottom w:val="single" w:sz="4" w:color="BFBFBF" w:space="2"/>
        </w:pBdr>
      </w:pPr>
      <w:r>
        <w:rPr>
          <w:rFonts w:ascii="Arial" w:hAnsi="Arial" w:cs="Arial"/>
          <w:b/>
          <w:i w:val="0"/>
          <w:color w:val="1F3864"/>
          <w:sz w:val="20"/>
        </w:rPr>
        <w:t>ASSESSMENT AND PLAN</w:t>
      </w:r>
    </w:p>
    <w:p>
      <w:pPr>
        <w:spacing w:after="40"/>
      </w:pPr>
      <w:r>
        <w:rPr>
          <w:rFonts w:ascii="Arial" w:hAnsi="Arial" w:cs="Arial"/>
          <w:b/>
          <w:i w:val="0"/>
          <w:color w:val="1F3864"/>
          <w:sz w:val="19"/>
        </w:rPr>
        <w:t xml:space="preserve">1. </w:t>
      </w:r>
      <w:r>
        <w:rPr>
          <w:rFonts w:ascii="Arial" w:hAnsi="Arial" w:cs="Arial"/>
          <w:b w:val="0"/>
          <w:i w:val="0"/>
          <w:color w:val="000000"/>
          <w:sz w:val="19"/>
        </w:rPr>
        <w:t>Suspected urinary-source infection / sepsis physiology. Initial ED frame is clinically reasonable.</w:t>
      </w:r>
    </w:p>
    <w:p>
      <w:pPr>
        <w:spacing w:after="40"/>
      </w:pPr>
      <w:r>
        <w:rPr>
          <w:rFonts w:ascii="Arial" w:hAnsi="Arial" w:cs="Arial"/>
          <w:b/>
          <w:i w:val="0"/>
          <w:color w:val="1F3864"/>
          <w:sz w:val="19"/>
        </w:rPr>
        <w:t xml:space="preserve">2. </w:t>
      </w:r>
      <w:r>
        <w:rPr>
          <w:rFonts w:ascii="Arial" w:hAnsi="Arial" w:cs="Arial"/>
          <w:b w:val="0"/>
          <w:i w:val="0"/>
          <w:color w:val="000000"/>
          <w:sz w:val="19"/>
        </w:rPr>
        <w:t>Altered baseline mental status, likely multifactorial: infection/acute illness, poor intake/volume status, medication burden, renal/metabolic risk, sleep/illness effects, possible steroid-related physiology.</w:t>
      </w:r>
    </w:p>
    <w:p>
      <w:pPr>
        <w:spacing w:after="40"/>
      </w:pPr>
      <w:r>
        <w:rPr>
          <w:rFonts w:ascii="Arial" w:hAnsi="Arial" w:cs="Arial"/>
          <w:b/>
          <w:i w:val="0"/>
          <w:color w:val="1F3864"/>
          <w:sz w:val="19"/>
        </w:rPr>
        <w:t xml:space="preserve">3. </w:t>
      </w:r>
      <w:r>
        <w:rPr>
          <w:rFonts w:ascii="Arial" w:hAnsi="Arial" w:cs="Arial"/>
          <w:b w:val="0"/>
          <w:i w:val="0"/>
          <w:color w:val="000000"/>
          <w:sz w:val="19"/>
        </w:rPr>
        <w:t>Progressive weakness and near-fall/lightheadedness, multifactorial.</w:t>
      </w:r>
    </w:p>
    <w:p>
      <w:pPr>
        <w:spacing w:after="40"/>
      </w:pPr>
      <w:r>
        <w:rPr>
          <w:rFonts w:ascii="Arial" w:hAnsi="Arial" w:cs="Arial"/>
          <w:b/>
          <w:i w:val="0"/>
          <w:color w:val="1F3864"/>
          <w:sz w:val="19"/>
        </w:rPr>
        <w:t xml:space="preserve">4. </w:t>
      </w:r>
      <w:r>
        <w:rPr>
          <w:rFonts w:ascii="Arial" w:hAnsi="Arial" w:cs="Arial"/>
          <w:b w:val="0"/>
          <w:i w:val="0"/>
          <w:color w:val="000000"/>
          <w:sz w:val="19"/>
        </w:rPr>
        <w:t>Poor oral intake with dehydration and AKI-on-CKD risk.</w:t>
      </w:r>
    </w:p>
    <w:p>
      <w:pPr>
        <w:spacing w:after="40"/>
      </w:pPr>
      <w:r>
        <w:rPr>
          <w:rFonts w:ascii="Arial" w:hAnsi="Arial" w:cs="Arial"/>
          <w:b/>
          <w:i w:val="0"/>
          <w:color w:val="1F3864"/>
          <w:sz w:val="19"/>
        </w:rPr>
        <w:t xml:space="preserve">5. </w:t>
      </w:r>
      <w:r>
        <w:rPr>
          <w:rFonts w:ascii="Arial" w:hAnsi="Arial" w:cs="Arial"/>
          <w:b w:val="0"/>
          <w:i w:val="0"/>
          <w:color w:val="000000"/>
          <w:sz w:val="19"/>
        </w:rPr>
        <w:t>HFrEF/CAD with high-risk medication reconciliation needs during acute illness.</w:t>
      </w:r>
    </w:p>
    <w:p>
      <w:pPr>
        <w:spacing w:after="40"/>
      </w:pPr>
      <w:r>
        <w:rPr>
          <w:rFonts w:ascii="Arial" w:hAnsi="Arial" w:cs="Arial"/>
          <w:b/>
          <w:i w:val="0"/>
          <w:color w:val="1F3864"/>
          <w:sz w:val="19"/>
        </w:rPr>
        <w:t xml:space="preserve">6. </w:t>
      </w:r>
      <w:r>
        <w:rPr>
          <w:rFonts w:ascii="Arial" w:hAnsi="Arial" w:cs="Arial"/>
          <w:b w:val="0"/>
          <w:i w:val="0"/>
          <w:color w:val="000000"/>
          <w:sz w:val="19"/>
        </w:rPr>
        <w:t>Type 2 diabetes with poor intake and renal-risk considerations.</w:t>
      </w:r>
    </w:p>
    <w:p>
      <w:pPr>
        <w:spacing w:after="40"/>
      </w:pPr>
      <w:r>
        <w:rPr>
          <w:rFonts w:ascii="Arial" w:hAnsi="Arial" w:cs="Arial"/>
          <w:b/>
          <w:i w:val="0"/>
          <w:color w:val="1F3864"/>
          <w:sz w:val="19"/>
        </w:rPr>
        <w:t xml:space="preserve">7. </w:t>
      </w:r>
      <w:r>
        <w:rPr>
          <w:rFonts w:ascii="Arial" w:hAnsi="Arial" w:cs="Arial"/>
          <w:b w:val="0"/>
          <w:i w:val="0"/>
          <w:color w:val="000000"/>
          <w:sz w:val="19"/>
        </w:rPr>
        <w:t>PMR with unclear prednisone taper / source-of-truth problem.</w:t>
      </w:r>
    </w:p>
    <w:p>
      <w:pPr>
        <w:spacing w:after="40"/>
      </w:pPr>
      <w:r>
        <w:rPr>
          <w:rFonts w:ascii="Arial" w:hAnsi="Arial" w:cs="Arial"/>
          <w:b/>
          <w:i w:val="0"/>
          <w:color w:val="1F3864"/>
          <w:sz w:val="19"/>
        </w:rPr>
        <w:t xml:space="preserve">8. </w:t>
      </w:r>
      <w:r>
        <w:rPr>
          <w:rFonts w:ascii="Arial" w:hAnsi="Arial" w:cs="Arial"/>
          <w:b w:val="0"/>
          <w:i w:val="0"/>
          <w:color w:val="000000"/>
          <w:sz w:val="19"/>
        </w:rPr>
        <w:t>Functional decline and discharge-safety concern already present on admission.</w:t>
      </w:r>
    </w:p>
    <w:p>
      <w:pPr>
        <w:spacing w:after="20"/>
      </w:pPr>
      <w:r>
        <w:rPr>
          <w:rFonts w:ascii="Arial" w:hAnsi="Arial" w:cs="Arial"/>
          <w:b/>
          <w:i w:val="0"/>
          <w:color w:val="000000"/>
          <w:sz w:val="19"/>
        </w:rPr>
        <w:t>Plan:</w:t>
      </w:r>
    </w:p>
    <w:p>
      <w:pPr>
        <w:pStyle w:val="ListBullet"/>
        <w:spacing w:after="20"/>
      </w:pPr>
      <w:r>
        <w:rPr>
          <w:rFonts w:ascii="Arial" w:hAnsi="Arial" w:cs="Arial"/>
          <w:b w:val="0"/>
          <w:i w:val="0"/>
          <w:color w:val="000000"/>
          <w:sz w:val="19"/>
        </w:rPr>
        <w:t>Admit to inpatient medicine; continue infection-oriented management and monitor response.</w:t>
      </w:r>
    </w:p>
    <w:p>
      <w:pPr>
        <w:pStyle w:val="ListBullet"/>
        <w:spacing w:after="20"/>
      </w:pPr>
      <w:r>
        <w:rPr>
          <w:rFonts w:ascii="Arial" w:hAnsi="Arial" w:cs="Arial"/>
          <w:b w:val="0"/>
          <w:i w:val="0"/>
          <w:color w:val="000000"/>
          <w:sz w:val="19"/>
        </w:rPr>
        <w:t>Cautious volume strategy given HFrEF and CKD.</w:t>
      </w:r>
    </w:p>
    <w:p>
      <w:pPr>
        <w:pStyle w:val="ListBullet"/>
        <w:spacing w:after="20"/>
      </w:pPr>
      <w:r>
        <w:rPr>
          <w:rFonts w:ascii="Arial" w:hAnsi="Arial" w:cs="Arial"/>
          <w:b w:val="0"/>
          <w:i w:val="0"/>
          <w:color w:val="000000"/>
          <w:sz w:val="19"/>
        </w:rPr>
        <w:t>Pharmacy medication reconciliation and refill-history review.</w:t>
      </w:r>
    </w:p>
    <w:p>
      <w:pPr>
        <w:pStyle w:val="ListBullet"/>
        <w:spacing w:after="20"/>
      </w:pPr>
      <w:r>
        <w:rPr>
          <w:rFonts w:ascii="Arial" w:hAnsi="Arial" w:cs="Arial"/>
          <w:b w:val="0"/>
          <w:i w:val="0"/>
          <w:color w:val="000000"/>
          <w:sz w:val="19"/>
        </w:rPr>
        <w:t>Hold or reassess renal/hemodynamic-sensitive chronic medications until renal function, intake, and hemodynamics are clearer.</w:t>
      </w:r>
    </w:p>
    <w:p>
      <w:pPr>
        <w:pStyle w:val="ListBullet"/>
        <w:spacing w:after="20"/>
      </w:pPr>
      <w:r>
        <w:rPr>
          <w:rFonts w:ascii="Arial" w:hAnsi="Arial" w:cs="Arial"/>
          <w:b w:val="0"/>
          <w:i w:val="0"/>
          <w:color w:val="000000"/>
          <w:sz w:val="19"/>
        </w:rPr>
        <w:t>Clarify prednisone history via med reconciliation, pharmacy history, family input, and outpatient rheumatology records.</w:t>
      </w:r>
    </w:p>
    <w:p>
      <w:pPr>
        <w:pStyle w:val="ListBullet"/>
        <w:spacing w:after="20"/>
      </w:pPr>
      <w:r>
        <w:rPr>
          <w:rFonts w:ascii="Arial" w:hAnsi="Arial" w:cs="Arial"/>
          <w:b w:val="0"/>
          <w:i w:val="0"/>
          <w:color w:val="000000"/>
          <w:sz w:val="19"/>
        </w:rPr>
        <w:t>Monitor mental status, intake, mobility; PT/OT evaluation once stabilized.</w:t>
      </w:r>
    </w:p>
    <w:p>
      <w:pPr>
        <w:pStyle w:val="ListBullet"/>
        <w:spacing w:after="20"/>
      </w:pPr>
      <w:r>
        <w:rPr>
          <w:rFonts w:ascii="Arial" w:hAnsi="Arial" w:cs="Arial"/>
          <w:b w:val="0"/>
          <w:i w:val="0"/>
          <w:color w:val="000000"/>
          <w:sz w:val="19"/>
        </w:rPr>
        <w:t>Keep family involved for baseline function and medication-management history.</w:t>
      </w:r>
    </w:p>
    <w:p>
      <w:pPr>
        <w:spacing w:before="160" w:after="60"/>
        <w:pBdr>
          <w:bottom w:val="single" w:sz="4" w:color="BFBFBF" w:space="2"/>
        </w:pBdr>
      </w:pPr>
      <w:r>
        <w:rPr>
          <w:rFonts w:ascii="Arial" w:hAnsi="Arial" w:cs="Arial"/>
          <w:b/>
          <w:i w:val="0"/>
          <w:color w:val="1F3864"/>
          <w:sz w:val="20"/>
        </w:rPr>
        <w:t>ADMISSION REASONING</w:t>
      </w:r>
    </w:p>
    <w:p>
      <w:pPr>
        <w:spacing w:after="80"/>
      </w:pPr>
      <w:r>
        <w:rPr>
          <w:rFonts w:ascii="Arial" w:hAnsi="Arial" w:cs="Arial"/>
          <w:b w:val="0"/>
          <w:i w:val="0"/>
          <w:color w:val="000000"/>
          <w:sz w:val="19"/>
        </w:rPr>
        <w:t>The suspected infection diagnosis explains part of the admission but does not yet explain the entire decline. The admission plan avoids premature closure and preserves medication, steroid-source, renal, cardiac, functional, and family-safety questions for reassessment as the patient evolves.</w:t>
      </w:r>
    </w:p>
    <w:p>
      <w:pPr>
        <w:spacing w:before="200"/>
        <w:pBdr>
          <w:top w:val="single" w:sz="4" w:color="BFBFBF" w:space="4"/>
        </w:pBdr>
      </w:pPr>
      <w:r>
        <w:rPr>
          <w:rFonts w:ascii="Arial" w:hAnsi="Arial" w:cs="Arial"/>
          <w:b w:val="0"/>
          <w:i/>
          <w:color w:val="595959"/>
          <w:sz w:val="18"/>
        </w:rPr>
        <w:t>Electronically signed by Elian Vossmere, MD (Hospitalist Service) on 05/18/2026 1432</w:t>
      </w:r>
    </w:p>
    <w:sectPr w:rsidR="00FC693F" w:rsidRPr="0006063C" w:rsidSect="00034616">
      <w:footerReference w:type="default" r:id="rId9"/>
      <w:head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5"/>
      </w:rPr>
      <w:t>Mercy Vale Regional Medical Center · History &amp; Physical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Arial"/>
        <w:b w:val="0"/>
        <w:i w:val="0"/>
        <w:color w:val="595959"/>
        <w:sz w:val="15"/>
      </w:rPr>
      <w:t>Korvin Merrow · MRN KM-6427819 · DOB 02/18/1964 · CSN-204418827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