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ayout w:type="fixed"/>
        <w:tblLook w:firstColumn="1" w:firstRow="1" w:lastColumn="0" w:lastRow="0" w:noHBand="0" w:noVBand="1" w:val="04A0"/>
      </w:tblPr>
      <w:tblGrid>
        <w:gridCol w:w="7632"/>
        <w:gridCol w:w="2592"/>
      </w:tblGrid>
      <w:tr>
        <w:tc>
          <w:tcPr>
            <w:tcW w:type="dxa" w:w="7632"/>
            <w:tcBorders>
              <w:top w:val="nil"/>
              <w:left w:val="nil"/>
              <w:bottom w:val="nil"/>
              <w:right w:val="nil"/>
              <w:insideH w:val="nil"/>
              <w:insideV w:val="nil"/>
            </w:tcBorders>
            <w:tcMar>
              <w:top w:w="0" w:type="dxa"/>
              <w:left w:w="0" w:type="dxa"/>
              <w:bottom w:w="20" w:type="dxa"/>
              <w:right w:w="0" w:type="dxa"/>
            </w:tcMar>
          </w:tcPr>
          <w:p>
            <w:r>
              <w:rPr>
                <w:rFonts w:ascii="Arial" w:hAnsi="Arial"/>
                <w:b/>
                <w:sz w:val="26"/>
              </w:rPr>
              <w:t>MERCY VALE REGIONAL MEDICAL CENTER</w:t>
            </w:r>
            <w:r>
              <w:rPr>
                <w:rFonts w:ascii="Arial" w:hAnsi="Arial"/>
                <w:sz w:val="26"/>
              </w:rPr>
              <w:t xml:space="preserve">   </w:t>
            </w:r>
            <w:r>
              <w:rPr>
                <w:rFonts w:ascii="Arial" w:hAnsi="Arial"/>
                <w:color w:val="5E6670"/>
                <w:sz w:val="20"/>
              </w:rPr>
              <w:t>— Pharmacy / Medication Reconciliation</w:t>
            </w:r>
          </w:p>
        </w:tc>
        <w:tc>
          <w:tcPr>
            <w:tcW w:type="dxa" w:w="2592"/>
            <w:tcBorders>
              <w:top w:val="nil"/>
              <w:left w:val="nil"/>
              <w:bottom w:val="nil"/>
              <w:right w:val="nil"/>
              <w:insideH w:val="nil"/>
              <w:insideV w:val="nil"/>
            </w:tcBorders>
            <w:tcMar>
              <w:top w:w="0" w:type="dxa"/>
              <w:left w:w="0" w:type="dxa"/>
              <w:bottom w:w="20" w:type="dxa"/>
              <w:right w:w="0" w:type="dxa"/>
            </w:tcMar>
          </w:tcPr>
          <w:p>
            <w:pPr>
              <w:jc w:val="right"/>
            </w:pPr>
            <w:r/>
            <w:r>
              <w:rPr>
                <w:rFonts w:ascii="Arial" w:hAnsi="Arial"/>
                <w:b/>
                <w:i w:val="0"/>
                <w:color w:val="5E6670"/>
                <w:sz w:val="18"/>
              </w:rPr>
              <w:t>Confidential</w:t>
            </w:r>
          </w:p>
        </w:tc>
      </w:tr>
      <w:tr>
        <w:tc>
          <w:tcPr>
            <w:tcW w:type="dxa" w:w="5112"/>
            <w:tcBorders>
              <w:top w:val="nil"/>
              <w:left w:val="nil"/>
              <w:bottom w:val="nil"/>
              <w:right w:val="nil"/>
              <w:insideH w:val="nil"/>
              <w:insideV w:val="nil"/>
            </w:tcBorders>
            <w:tcMar>
              <w:top w:w="0" w:type="dxa"/>
              <w:left w:w="0" w:type="dxa"/>
              <w:bottom w:w="40" w:type="dxa"/>
              <w:right w:w="0" w:type="dxa"/>
            </w:tcMar>
          </w:tcPr>
          <w:p>
            <w:r/>
            <w:r>
              <w:rPr>
                <w:rFonts w:ascii="Arial" w:hAnsi="Arial"/>
                <w:b w:val="0"/>
                <w:i w:val="0"/>
                <w:color w:val="5E6670"/>
                <w:sz w:val="17"/>
              </w:rPr>
              <w:t>5 Harbor Crest Way, Bridgehollow, PA 15211  |  Pharmacy: (412) 555-0170</w:t>
            </w:r>
          </w:p>
        </w:tc>
        <w:tc>
          <w:tcPr>
            <w:tcW w:type="dxa" w:w="5112"/>
            <w:tcBorders>
              <w:top w:val="nil"/>
              <w:left w:val="nil"/>
              <w:bottom w:val="nil"/>
              <w:right w:val="nil"/>
              <w:insideH w:val="nil"/>
              <w:insideV w:val="nil"/>
            </w:tcBorders>
            <w:tcMar>
              <w:top w:w="0" w:type="dxa"/>
              <w:left w:w="0" w:type="dxa"/>
              <w:bottom w:w="40" w:type="dxa"/>
              <w:right w:w="0" w:type="dxa"/>
            </w:tcMar>
          </w:tcPr>
          <w:p>
            <w:pPr>
              <w:jc w:val="right"/>
            </w:pPr>
            <w:r/>
            <w:r>
              <w:rPr>
                <w:rFonts w:ascii="Arial" w:hAnsi="Arial"/>
                <w:b w:val="0"/>
                <w:i w:val="0"/>
                <w:color w:val="5E6670"/>
                <w:sz w:val="17"/>
              </w:rPr>
              <w:t>Pharmacy / Inpatient</w:t>
            </w:r>
          </w:p>
        </w:tc>
      </w:tr>
    </w:tbl>
    <w:p>
      <w:pPr>
        <w:spacing w:before="0" w:after="120"/>
        <w:pBdr>
          <w:bottom w:val="single" w:sz="6" w:space="1" w:color="B9BEC4"/>
        </w:pBdr>
      </w:pPr>
    </w:p>
    <w:tbl>
      <w:tblPr>
        <w:tblW w:type="auto" w:w="0"/>
        <w:tblLayout w:type="fixed"/>
        <w:tblLook w:firstColumn="1" w:firstRow="1" w:lastColumn="0" w:lastRow="0" w:noHBand="0" w:noVBand="1" w:val="04A0"/>
      </w:tblPr>
      <w:tblGrid>
        <w:gridCol w:w="3024"/>
        <w:gridCol w:w="2304"/>
        <w:gridCol w:w="2736"/>
        <w:gridCol w:w="2160"/>
      </w:tblGrid>
      <w:tr>
        <w:tc>
          <w:tcPr>
            <w:tcW w:type="dxa" w:w="302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PATIENT</w:t>
            </w:r>
          </w:p>
          <w:p>
            <w:pPr>
              <w:spacing w:after="0" w:before="0"/>
            </w:pPr>
            <w:r>
              <w:rPr>
                <w:rFonts w:ascii="Arial" w:hAnsi="Arial"/>
                <w:b w:val="0"/>
                <w:sz w:val="19"/>
              </w:rPr>
              <w:t>Korvin Merrow, 62 y</w:t>
            </w:r>
          </w:p>
        </w:tc>
        <w:tc>
          <w:tcPr>
            <w:tcW w:type="dxa" w:w="230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SEX</w:t>
            </w:r>
          </w:p>
          <w:p>
            <w:pPr>
              <w:spacing w:after="0" w:before="0"/>
            </w:pPr>
            <w:r>
              <w:rPr>
                <w:rFonts w:ascii="Arial" w:hAnsi="Arial"/>
                <w:b w:val="0"/>
                <w:sz w:val="19"/>
              </w:rPr>
              <w:t>Male</w:t>
            </w:r>
          </w:p>
        </w:tc>
        <w:tc>
          <w:tcPr>
            <w:tcW w:type="dxa" w:w="2736"/>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DOB</w:t>
            </w:r>
          </w:p>
          <w:p>
            <w:pPr>
              <w:spacing w:after="0" w:before="0"/>
            </w:pPr>
            <w:r>
              <w:rPr>
                <w:rFonts w:ascii="Arial" w:hAnsi="Arial"/>
                <w:b w:val="0"/>
                <w:sz w:val="19"/>
              </w:rPr>
              <w:t>02/18/1964</w:t>
            </w:r>
          </w:p>
        </w:tc>
        <w:tc>
          <w:tcPr>
            <w:tcW w:type="dxa" w:w="2160"/>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MRN</w:t>
            </w:r>
          </w:p>
          <w:p>
            <w:pPr>
              <w:spacing w:after="0" w:before="0"/>
            </w:pPr>
            <w:r>
              <w:rPr>
                <w:rFonts w:ascii="Arial" w:hAnsi="Arial"/>
                <w:b w:val="0"/>
                <w:sz w:val="19"/>
              </w:rPr>
              <w:t>KM-6427819</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DATE</w:t>
            </w:r>
          </w:p>
          <w:p>
            <w:pPr>
              <w:spacing w:after="0" w:before="0"/>
            </w:pPr>
            <w:r>
              <w:rPr>
                <w:rFonts w:ascii="Arial" w:hAnsi="Arial"/>
                <w:b w:val="0"/>
                <w:sz w:val="19"/>
              </w:rPr>
              <w:t>05/23/2026 / HD6</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UNIT / ROOM</w:t>
            </w:r>
          </w:p>
          <w:p>
            <w:pPr>
              <w:spacing w:after="0" w:before="0"/>
            </w:pPr>
            <w:r>
              <w:rPr>
                <w:rFonts w:ascii="Arial" w:hAnsi="Arial"/>
                <w:b w:val="0"/>
                <w:sz w:val="19"/>
              </w:rPr>
              <w:t>5 West Medical / 5W-318</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ALLERGIES</w:t>
            </w:r>
          </w:p>
          <w:p>
            <w:pPr>
              <w:spacing w:after="0" w:before="0"/>
            </w:pPr>
            <w:r>
              <w:rPr>
                <w:rFonts w:ascii="Arial" w:hAnsi="Arial"/>
                <w:b w:val="0"/>
                <w:sz w:val="19"/>
              </w:rPr>
              <w:t>Lisinopril (cough) — ACE-inhibitor intolerance</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FIN</w:t>
            </w:r>
          </w:p>
          <w:p>
            <w:pPr>
              <w:spacing w:after="0" w:before="0"/>
            </w:pPr>
            <w:r>
              <w:rPr>
                <w:rFonts w:ascii="Arial" w:hAnsi="Arial"/>
                <w:b w:val="0"/>
                <w:sz w:val="19"/>
              </w:rPr>
              <w:t>KM-2026-051877</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ADMITTING ATTENDING</w:t>
            </w:r>
          </w:p>
          <w:p>
            <w:pPr>
              <w:spacing w:after="0" w:before="0"/>
            </w:pPr>
            <w:r>
              <w:rPr>
                <w:rFonts w:ascii="Arial" w:hAnsi="Arial"/>
                <w:b w:val="0"/>
                <w:sz w:val="19"/>
              </w:rPr>
              <w:t>Elian Vossmere, MD</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SERVICE</w:t>
            </w:r>
          </w:p>
          <w:p>
            <w:pPr>
              <w:spacing w:after="0" w:before="0"/>
            </w:pPr>
            <w:r>
              <w:rPr>
                <w:rFonts w:ascii="Arial" w:hAnsi="Arial"/>
                <w:b w:val="0"/>
                <w:sz w:val="19"/>
              </w:rPr>
              <w:t>Hospital Medicine</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CODE STATUS</w:t>
            </w:r>
          </w:p>
          <w:p>
            <w:pPr>
              <w:spacing w:after="0" w:before="0"/>
            </w:pPr>
            <w:r>
              <w:rPr>
                <w:rFonts w:ascii="Arial" w:hAnsi="Arial"/>
                <w:b w:val="0"/>
                <w:sz w:val="19"/>
              </w:rPr>
              <w:t>Full Code (confirmed 05/18/2026)</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DOCUMENT</w:t>
            </w:r>
          </w:p>
          <w:p>
            <w:pPr>
              <w:spacing w:after="0" w:before="0"/>
            </w:pPr>
            <w:r>
              <w:rPr>
                <w:rFonts w:ascii="Arial" w:hAnsi="Arial"/>
                <w:b w:val="0"/>
                <w:sz w:val="19"/>
              </w:rPr>
              <w:t>Discharge medication reconciliation note</w:t>
            </w:r>
          </w:p>
        </w:tc>
      </w:tr>
    </w:tbl>
    <w:p>
      <w:pPr>
        <w:spacing w:after="80"/>
      </w:pPr>
    </w:p>
    <w:p>
      <w:pPr>
        <w:spacing w:before="40" w:after="80"/>
        <w:jc w:val="left"/>
      </w:pPr>
      <w:r>
        <w:rPr>
          <w:rFonts w:ascii="Arial" w:hAnsi="Arial"/>
          <w:b/>
          <w:sz w:val="26"/>
        </w:rPr>
        <w:t>DISCHARGE MEDICATION RECONCILIATION NOTE</w:t>
      </w:r>
    </w:p>
    <w:tbl>
      <w:tblPr>
        <w:tblW w:type="auto" w:w="0"/>
        <w:tblLayout w:type="fixed"/>
        <w:tblLook w:firstColumn="1" w:firstRow="1" w:lastColumn="0" w:lastRow="0" w:noHBand="0" w:noVBand="1" w:val="04A0"/>
      </w:tblPr>
      <w:tblGrid>
        <w:gridCol w:w="2304"/>
        <w:gridCol w:w="7920"/>
      </w:tblGrid>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Author:</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Ezekiel Marlott, PharmD, BCPS — Inpatient Pharmacy</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Department:</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Pharmacy / Inpatient medication reconciliation</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Date of Service:</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05/23/2026 (HD6)</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Status:</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Signed — discharge medication reconciliation, prepared for co-signature</w:t>
            </w:r>
          </w:p>
        </w:tc>
      </w:tr>
    </w:tbl>
    <w:p>
      <w:r>
        <w:rPr>
          <w:rFonts w:ascii="Arial" w:hAnsi="Arial"/>
          <w:b w:val="0"/>
        </w:rPr>
        <w:t>This reconciliation is not a copy-forward of the home list, the MAR, the discharge snapshot, or the pharmacy handoff. Each medication gets its own disposition, sequenced against renal recovery, potassium, blood pressure reserve, oral intake, glucose pattern, the unresolved prednisone question, and what this family can realistically manage at home.</w:t>
      </w:r>
    </w:p>
    <w:p>
      <w:r>
        <w:rPr>
          <w:rFonts w:ascii="Arial" w:hAnsi="Arial"/>
          <w:b w:val="0"/>
        </w:rPr>
        <w:t>Pharmacy left a medication-safety handoff. Several of its discharge recommendations I do not adopt as written, and I address each in place below: the nitrofurantoin switch, the home-dose sacubitril/valsartan restart, the prednisone 5 mg written off a fill, and the potassium-based salt substitute.</w:t>
      </w:r>
    </w:p>
    <w:p>
      <w:r>
        <w:rPr>
          <w:rFonts w:ascii="Arial" w:hAnsi="Arial"/>
          <w:b w:val="0"/>
        </w:rPr>
        <w:t>1. Discharge antibiotic. He completed IV ceftriaxone and is on cefpodoxime 200 mg PO BID as the working oral step-down, afebrile with a normalizing white count; the chart leaves completion versus a defined outpatient course open. I would keep cefpodoxime to a defined stop date. I decline the handoff's switch to nitrofurantoin: this was a urinary-source infection with sepsis physiology, not isolated cystitis, nitrofurantoin does not achieve reliable tissue or serum levels for an upper-tract or systemic source, and it is renally limited at his eGFR of 40 to 50. Renal-dose review any new outpatient antibiotic per nephrology.</w:t>
      </w:r>
    </w:p>
    <w:p>
      <w:r>
        <w:rPr>
          <w:rFonts w:ascii="Arial" w:hAnsi="Arial"/>
          <w:b w:val="0"/>
        </w:rPr>
        <w:t>2. Dietary potassium. I decline the handoff's potassium-based salt substitute. A salt substitute is a potassium load; in CKD stage 3 one day out from a resolved AKI, with potassium still a live concern and RAAS and mineralocorticoid therapy due to be reintroduced, exogenous potassium is an avoidable hyperkalemia hazard. Counsel sodium reduction by whole-food and label-reading measures, not a potassium-based substitute.</w:t>
      </w:r>
    </w:p>
    <w:p>
      <w:r>
        <w:rPr>
          <w:rFonts w:ascii="Arial" w:hAnsi="Arial"/>
          <w:b w:val="0"/>
        </w:rPr>
        <w:t>3. Chronic CAD prevention. Continue aspirin and atorvastatin; nothing this admission contraindicates either.</w:t>
      </w:r>
    </w:p>
    <w:p>
      <w:r>
        <w:rPr>
          <w:rFonts w:ascii="Arial" w:hAnsi="Arial"/>
          <w:b w:val="0"/>
        </w:rPr>
        <w:t>4. Held cardiorenal agents / restart sequencing. The admission holds (sacubitril/valsartan, spironolactone, empagliflozin, metformin, furosemide) were appropriate during sepsis physiology, poor intake, and AKI on CKD3. By HD6 creatinine is at the upper end of baseline (1.80) and potassium has settled (4.4), so the holds need active reassessment, not simultaneous restart. Carvedilol: continue cautious schedule. Sacubitril/valsartan: I decline the handoff's home-dose restart today; nephrology's documented position is a staged, single-agent-first, parameter-gated restart, and as of HD6 it does not declare him ready for simultaneous restart. Defer the ARNI to outpatient. Spironolactone: defer; AKI too recent, home K monitoring not reliable. Furosemide: dose to volume/weight. Empagliflozin: hold until clearly past acute illness and eating. Metformin: resume when Cr stable near baseline and intake adequate.</w:t>
      </w:r>
    </w:p>
    <w:p>
      <w:r>
        <w:rPr>
          <w:rFonts w:ascii="Arial" w:hAnsi="Arial"/>
          <w:b w:val="0"/>
        </w:rPr>
        <w:t>5. Diabetes. Reconcile basal insulin against home use, inpatient glucose, intake, and home capacity. Inpatient correctional lispro is not a home regimen; build and teach any outpatient insulin plan deliberately.</w:t>
      </w:r>
    </w:p>
    <w:p>
      <w:r>
        <w:rPr>
          <w:rFonts w:ascii="Arial" w:hAnsi="Arial"/>
          <w:b w:val="0"/>
        </w:rPr>
        <w:t>6. Prednisone. Rheumatology documentation is the best evidence for the intended outpatient taper and sets a cautious-taper intent without a fixed numeric dose. I decline the handoff's 5 mg daily written off the most recent fill; the fill history establishes chronic and recent exposure, not adherence or a verified current dose. Do not stop abruptly, do not write a specific home dose from the fill or memory, and name who owns the taper after discharge. Adrenal suppression is plausible, not proven, and not established as the cause of this admission.</w:t>
      </w:r>
    </w:p>
    <w:p>
      <w:r>
        <w:rPr>
          <w:rFonts w:ascii="Arial" w:hAnsi="Arial"/>
          <w:b w:val="0"/>
        </w:rPr>
        <w:t>7. Supportive meds. Review gabapentin against cognition, fall risk, renal function. Alendronate, calcium/vitamin D, pantoprazole, iron, and bowel meds carry forward as chronic supportive therapy and should not crowd out the high-risk decisions above.</w:t>
      </w:r>
    </w:p>
    <w:p>
      <w:r>
        <w:rPr>
          <w:rFonts w:ascii="Arial" w:hAnsi="Arial"/>
          <w:b w:val="0"/>
        </w:rPr>
        <w:t>8. Communication and follow-up. The discharge-facing snapshot and the pharmacy handoff are planning inputs, not the reconciliation. Put every disposition in writing with its reason. Teach with family present; nursing, OT, and family documentation show medication-management capacity that is improved but fragile. Arrange accountable follow-up for BMP with Cr/K, BP and orthostatic symptoms, glucose, the antibiotic stop date, the steroid instructions, and outpatient nephrology within 1 to 2 weeks.</w:t>
      </w:r>
    </w:p>
    <w:p>
      <w:r>
        <w:rPr>
          <w:rFonts w:ascii="Arial" w:hAnsi="Arial"/>
          <w:b w:val="0"/>
        </w:rPr>
      </w:r>
    </w:p>
    <w:p>
      <w:r>
        <w:rPr>
          <w:rFonts w:ascii="Arial" w:hAnsi="Arial"/>
          <w:b w:val="0"/>
        </w:rPr>
        <w:t>Electronically signed by Ezekiel Marlott, PharmD, BCPS  |  Inpatient Pharmacy  |  Mercy Vale Regional Medical Center  |  05/23/2026</w:t>
      </w:r>
    </w:p>
    <w:p>
      <w:r>
        <w:rPr>
          <w:rFonts w:ascii="Arial" w:hAnsi="Arial"/>
          <w:b w:val="0"/>
        </w:rPr>
        <w:t>Co-signed by (covering for Elian Vossmere, MD)  |  Hospital Medicine  |  Mercy Vale Regional Medical Center  |  05/23/2026</w:t>
      </w:r>
    </w:p>
    <w:p>
      <w:r>
        <w:rPr>
          <w:rFonts w:ascii="Arial" w:hAnsi="Arial"/>
          <w:b w:val="0"/>
        </w:rPr>
        <w:t>Co-signature required before release with the discharge paperwork.</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E6670"/>
        <w:sz w:val="15"/>
      </w:rPr>
      <w:t>Mercy Vale Regional Medical Center  |  Initial medication reconciliation note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