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Hospital Discharge Summary</w:t>
            </w:r>
          </w:p>
        </w:tc>
      </w:tr>
    </w:tbl>
    <w:p/>
    <w:p>
      <w:r>
        <w:rPr>
          <w:rFonts w:ascii="Arial" w:hAnsi="Arial"/>
          <w:b/>
          <w:i w:val="0"/>
          <w:color w:val="1F3864"/>
          <w:sz w:val="28"/>
        </w:rPr>
        <w:t>HOSPITAL DISCHARGE SUMMARY</w:t>
      </w:r>
    </w:p>
    <w:p>
      <w:r>
        <w:rPr>
          <w:rFonts w:ascii="Arial" w:hAnsi="Arial"/>
          <w:b w:val="0"/>
          <w:i w:val="0"/>
          <w:color w:val="5E6670"/>
          <w:sz w:val="16"/>
        </w:rPr>
        <w:t>Author: Elian Vossmere, MD  |  Department: Hospital Medicine  |  05/24/2026  |  Status: Signed</w:t>
      </w:r>
    </w:p>
    <w:p>
      <w:pPr>
        <w:spacing w:before="180" w:after="60"/>
        <w:pBdr>
          <w:bottom w:val="single" w:sz="6" w:color="C9D4EA" w:space="2"/>
        </w:pBdr>
      </w:pPr>
      <w:r>
        <w:rPr>
          <w:rFonts w:ascii="Arial" w:hAnsi="Arial"/>
          <w:b/>
          <w:i w:val="0"/>
          <w:color w:val="4472C4"/>
          <w:sz w:val="20"/>
        </w:rPr>
        <w:t>REASON FOR ADMISSION</w:t>
      </w:r>
    </w:p>
    <w:p>
      <w:r>
        <w:rPr>
          <w:rFonts w:ascii="Arial" w:hAnsi="Arial"/>
          <w:b w:val="0"/>
          <w:i w:val="0"/>
          <w:color w:val="232830"/>
          <w:sz w:val="19"/>
        </w:rPr>
        <w:t>Korvin Merrow is a 62-year-old man with HFrEF, CAD with remote PCI and stent, CKD stage 3, type 2 diabetes, hypertension, hyperlipidemia, diabetic peripheral neuropathy, OSA, anemia of CKD, chronic-steroid-related osteoporosis, class I obesity, GERD, chronic constipation tendency, and polymyalgia rheumatica on long-term prednisone with an unclear recent taper. He was admitted 05/18/2026 with suspected urinary-source infection and sepsis physiology on a background of mixed physiology; discharge is anticipated 05/24/2026.</w:t>
      </w:r>
    </w:p>
    <w:p>
      <w:pPr>
        <w:spacing w:before="180" w:after="60"/>
        <w:pBdr>
          <w:bottom w:val="single" w:sz="6" w:color="C9D4EA" w:space="2"/>
        </w:pBdr>
      </w:pPr>
      <w:r>
        <w:rPr>
          <w:rFonts w:ascii="Arial" w:hAnsi="Arial"/>
          <w:b/>
          <w:i w:val="0"/>
          <w:color w:val="4472C4"/>
          <w:sz w:val="20"/>
        </w:rPr>
        <w:t>HISTORY OF PRESENT ILLNESS</w:t>
      </w:r>
    </w:p>
    <w:p>
      <w:r>
        <w:rPr>
          <w:rFonts w:ascii="Arial" w:hAnsi="Arial"/>
          <w:b w:val="0"/>
          <w:i w:val="0"/>
          <w:color w:val="232830"/>
          <w:sz w:val="19"/>
        </w:rPr>
        <w:t>He presented after roughly three weeks of progressive weakness, poor oral intake, lightheadedness with a near-fall at home (no head strike, no loss of consciousness), and family-noted confusion, with possible urinary symptoms and recent medication-management errors. The initial working diagnosis was suspected urinary-source infection with sepsis physiology, supported by a leukocytosis of 15.6 and a urinalysis with pyuria, positive leukocyte esterase, and bacteriuria, and reasonable given the hemodynamic vulnerability and altered mentation. A reflex urine culture and blood cultures were sent, and empiric antibiotics were started in the ED with renal dose adjustment for the AKI. The admission picture was managed as mixed physiology rather than infection alone, with AKI on CKD, poor intake, polypharmacy, chronic steroid exposure, and deconditioning all contributing.</w:t>
      </w:r>
    </w:p>
    <w:p>
      <w:pPr>
        <w:spacing w:before="180" w:after="60"/>
        <w:pBdr>
          <w:bottom w:val="single" w:sz="6" w:color="C9D4EA" w:space="2"/>
        </w:pBdr>
      </w:pPr>
      <w:r>
        <w:rPr>
          <w:rFonts w:ascii="Arial" w:hAnsi="Arial"/>
          <w:b/>
          <w:i w:val="0"/>
          <w:color w:val="4472C4"/>
          <w:sz w:val="20"/>
        </w:rPr>
        <w:t>HOSPITAL COURSE</w:t>
      </w:r>
    </w:p>
    <w:p>
      <w:r>
        <w:rPr>
          <w:rFonts w:ascii="Arial" w:hAnsi="Arial"/>
          <w:b w:val="0"/>
          <w:i w:val="0"/>
          <w:color w:val="232830"/>
          <w:sz w:val="19"/>
        </w:rPr>
        <w:t>He was admitted to the hospitalist service under Dr. Elian Vossmere and started on empiric ceftriaxone 1 g IV q24h with a cautious fluid strategy given HFrEF and CKD. Admission labs were notable for creatinine 2.62 mg/dL against a CKD baseline of about 1.6 to 1.8, potassium 5.1 mmol/L, and WBC 15.6 K/uL, with an earlier febrile pattern and hyperglycemia. The reflex urine culture and blood cultures were pending. Renal and hemodynamic-sensitive chronic medications, including sacubitril/valsartan, spironolactone, empagliflozin, metformin, and diuretic therapy, were held or cautiously managed during AKI, poor intake, and low-normal blood pressures, and carvedilol was managed in hemodynamic context. By HD2 he was less acutely ill with improved alertness and intake but remained weak and slower than his baseline; the urine culture showed preliminary growth with speciation pending, and empiric antibiotics continued pending cultures and sensitivities before any narrowing. These early medication holds were acute-illness decisions, not a final chronic medication plan.</w:t>
      </w:r>
    </w:p>
    <w:p>
      <w:r>
        <w:rPr>
          <w:rFonts w:ascii="Arial" w:hAnsi="Arial"/>
          <w:b w:val="0"/>
          <w:i w:val="0"/>
          <w:color w:val="232830"/>
          <w:sz w:val="19"/>
        </w:rPr>
        <w:t>Over HD3 to HD4 the course was clearly multifactorial. Infection markers, renal function, potassium, and intake improved (creatinine 2.12 then 1.98, potassium 4.7 then 4.6, WBC 11.9 then 10.8, afebrile), and by HD4 an oral step-down from ceftriaxone to cefpodoxime 200 mg PO BID was initiated while cultures and sensitivities remained pending and the regimen was not narrowed. Nursing, physical therapy, and occupational therapy documented function and cognition below his described baseline, with limited ambulation tolerance, supervision for transfers, and difficulty with multi-step tasks and explaining his own medication routine. Consultants sharpened the discharge-relevant issues. Nephrology (Dr. Iven Solthar) emphasized sequencing the renal and hemodynamic-sensitive medications during AKI recovery rather than restarting them simultaneously, with particular caution on spironolactone and the sacubitril/valsartan pathway given potassium and blood-pressure risk. Cardiology (Dr. Maris Caldrane) emphasized not losing HFrEF and CAD protection to inertia, continuing aspirin and atorvastatin, and planning deliberate reintroduction rather than vague indefinite holds. The two services differed on timing and sequencing, not on whether renal safety mattered. Outpatient rheumatology provenance (Dr. Soren Halvek) became available and clarified an intended cautious taper; endocrinology (Dr. Nerea Veylorn) judged the chronic steroid exposure clinically relevant with a plausible risk of adrenal suppression but did not establish adrenal insufficiency, and recommended avoiding abrupt prednisone discontinuation while the source history was reconstructed.</w:t>
      </w:r>
    </w:p>
    <w:p>
      <w:r>
        <w:rPr>
          <w:rFonts w:ascii="Arial" w:hAnsi="Arial"/>
          <w:b w:val="0"/>
          <w:i w:val="0"/>
          <w:color w:val="232830"/>
          <w:sz w:val="19"/>
        </w:rPr>
        <w:t>By HD5 to HD6 he was medically improved: afebrile, creatinine near his CKD baseline at 1.86 then 1.80, potassium 4.4, WBC 9.4, with better intake and alertness, and discharge planning was reasonable to continue. Case management engaged on services, equipment, transportation, and follow-up logistics. Therapy and nursing still described limited endurance, supervision needs, and vulnerability with complex medication self-management, and the family, primarily Mara Merrow, remained concerned that better than admission was not the same as a return to baseline. The HD6 discharge-facing snapshot recorded an anticipated discharge of 05/24 pending final medication reconciliation, education, and transition supports; it was a planning snapshot, not a completed discharge order, final medication list, or final disposition.</w:t>
      </w:r>
    </w:p>
    <w:p>
      <w:pPr>
        <w:spacing w:before="180" w:after="60"/>
        <w:pBdr>
          <w:bottom w:val="single" w:sz="6" w:color="C9D4EA" w:space="2"/>
        </w:pBdr>
      </w:pPr>
      <w:r>
        <w:rPr>
          <w:rFonts w:ascii="Arial" w:hAnsi="Arial"/>
          <w:b/>
          <w:i w:val="0"/>
          <w:color w:val="4472C4"/>
          <w:sz w:val="20"/>
        </w:rPr>
        <w:t>ACTIVE PROBLEMS AT THE TIME OF THIS SUMMARY</w:t>
      </w:r>
    </w:p>
    <w:p>
      <w:pPr>
        <w:pStyle w:val="ListBullet"/>
        <w:spacing w:after="30"/>
      </w:pPr>
      <w:r>
        <w:rPr>
          <w:rFonts w:ascii="Arial" w:hAnsi="Arial"/>
          <w:b/>
          <w:i w:val="0"/>
          <w:color w:val="232830"/>
          <w:sz w:val="19"/>
        </w:rPr>
        <w:t>Suspected urinary-source infection with sepsis physiology, improved.</w:t>
      </w:r>
      <w:r>
        <w:rPr>
          <w:rFonts w:ascii="Arial" w:hAnsi="Arial"/>
          <w:b w:val="0"/>
          <w:i w:val="0"/>
          <w:color w:val="232830"/>
          <w:sz w:val="19"/>
        </w:rPr>
        <w:t xml:space="preserve"> Empiric ceftriaxone 1 g IV q24h with oral step-down to cefpodoxime 200 mg PO BID; completion versus continuation to be reconciled at discharge. Urinalysis showed pyuria, positive leukocyte esterase, and bacteriuria; the urine culture showed preliminary growth with speciation and sensitivities pending and was never narrowed, and blood cultures were pending. No organism, sensitivity profile, or no-growth result was finalized.</w:t>
      </w:r>
    </w:p>
    <w:p>
      <w:pPr>
        <w:pStyle w:val="ListBullet"/>
        <w:spacing w:after="30"/>
      </w:pPr>
      <w:r>
        <w:rPr>
          <w:rFonts w:ascii="Arial" w:hAnsi="Arial"/>
          <w:b/>
          <w:i w:val="0"/>
          <w:color w:val="232830"/>
          <w:sz w:val="19"/>
        </w:rPr>
        <w:t>AKI on CKD stage 3, improving toward baseline.</w:t>
      </w:r>
      <w:r>
        <w:rPr>
          <w:rFonts w:ascii="Arial" w:hAnsi="Arial"/>
          <w:b w:val="0"/>
          <w:i w:val="0"/>
          <w:color w:val="232830"/>
          <w:sz w:val="19"/>
        </w:rPr>
        <w:t xml:space="preserve"> Creatinine 2.62 to 1.80.</w:t>
      </w:r>
    </w:p>
    <w:p>
      <w:pPr>
        <w:pStyle w:val="ListBullet"/>
        <w:spacing w:after="30"/>
      </w:pPr>
      <w:r>
        <w:rPr>
          <w:rFonts w:ascii="Arial" w:hAnsi="Arial"/>
          <w:b/>
          <w:i w:val="0"/>
          <w:color w:val="232830"/>
          <w:sz w:val="19"/>
        </w:rPr>
        <w:t>Multifactorial altered mental status and weakness.</w:t>
      </w:r>
      <w:r>
        <w:rPr>
          <w:rFonts w:ascii="Arial" w:hAnsi="Arial"/>
          <w:b w:val="0"/>
          <w:i w:val="0"/>
          <w:color w:val="232830"/>
          <w:sz w:val="19"/>
        </w:rPr>
        <w:t xml:space="preserve"> Improved but not clearly back to baseline.</w:t>
      </w:r>
    </w:p>
    <w:p>
      <w:pPr>
        <w:pStyle w:val="ListBullet"/>
        <w:spacing w:after="30"/>
      </w:pPr>
      <w:r>
        <w:rPr>
          <w:rFonts w:ascii="Arial" w:hAnsi="Arial"/>
          <w:b/>
          <w:i w:val="0"/>
          <w:color w:val="232830"/>
          <w:sz w:val="19"/>
        </w:rPr>
        <w:t>HFrEF and CAD.</w:t>
      </w:r>
      <w:r>
        <w:rPr>
          <w:rFonts w:ascii="Arial" w:hAnsi="Arial"/>
          <w:b w:val="0"/>
          <w:i w:val="0"/>
          <w:color w:val="232830"/>
          <w:sz w:val="19"/>
        </w:rPr>
        <w:t xml:space="preserve"> Cardiorenal medications held or deferred during AKI recovery; restart sequencing and monitoring unresolved between cardiology and nephrology.</w:t>
      </w:r>
    </w:p>
    <w:p>
      <w:pPr>
        <w:pStyle w:val="ListBullet"/>
        <w:spacing w:after="30"/>
      </w:pPr>
      <w:r>
        <w:rPr>
          <w:rFonts w:ascii="Arial" w:hAnsi="Arial"/>
          <w:b/>
          <w:i w:val="0"/>
          <w:color w:val="232830"/>
          <w:sz w:val="19"/>
        </w:rPr>
        <w:t>Type 2 diabetes during acute illness and steroid exposure.</w:t>
      </w:r>
      <w:r>
        <w:rPr>
          <w:rFonts w:ascii="Arial" w:hAnsi="Arial"/>
          <w:b w:val="0"/>
          <w:i w:val="0"/>
          <w:color w:val="232830"/>
          <w:sz w:val="19"/>
        </w:rPr>
        <w:t xml:space="preserve"> Basal insulin continued with inpatient adjustment; correctional insulin lispro used inpatient-only, not an outpatient medication.</w:t>
      </w:r>
    </w:p>
    <w:p>
      <w:pPr>
        <w:pStyle w:val="ListBullet"/>
        <w:spacing w:after="30"/>
      </w:pPr>
      <w:r>
        <w:rPr>
          <w:rFonts w:ascii="Arial" w:hAnsi="Arial"/>
          <w:b/>
          <w:i w:val="0"/>
          <w:color w:val="232830"/>
          <w:sz w:val="19"/>
        </w:rPr>
        <w:t>PMR with chronic prednisone exposure and unclear taper and adherence.</w:t>
      </w:r>
      <w:r>
        <w:rPr>
          <w:rFonts w:ascii="Arial" w:hAnsi="Arial"/>
          <w:b w:val="0"/>
          <w:i w:val="0"/>
          <w:color w:val="232830"/>
          <w:sz w:val="19"/>
        </w:rPr>
        <w:t xml:space="preserve"> Steroid risk clinically relevant, adrenal insufficiency not established, abrupt discontinuation to be avoided pending reconciliation with rheumatology taper intent.</w:t>
      </w:r>
    </w:p>
    <w:p>
      <w:pPr>
        <w:pStyle w:val="ListBullet"/>
        <w:spacing w:after="30"/>
      </w:pPr>
      <w:r>
        <w:rPr>
          <w:rFonts w:ascii="Arial" w:hAnsi="Arial"/>
          <w:b/>
          <w:i w:val="0"/>
          <w:color w:val="232830"/>
          <w:sz w:val="19"/>
        </w:rPr>
        <w:t>Functional decline with transition-safety concern.</w:t>
      </w:r>
      <w:r>
        <w:rPr>
          <w:rFonts w:ascii="Arial" w:hAnsi="Arial"/>
          <w:b w:val="0"/>
          <w:i w:val="0"/>
          <w:color w:val="232830"/>
          <w:sz w:val="19"/>
        </w:rPr>
        <w:t xml:space="preserve"> PT, OT, and nursing below baseline; family concern baseline-grounded rather than generic.</w:t>
      </w:r>
    </w:p>
    <w:p>
      <w:pPr>
        <w:spacing w:before="180" w:after="60"/>
        <w:pBdr>
          <w:bottom w:val="single" w:sz="6" w:color="C9D4EA" w:space="2"/>
        </w:pBdr>
      </w:pPr>
      <w:r>
        <w:rPr>
          <w:rFonts w:ascii="Arial" w:hAnsi="Arial"/>
          <w:b/>
          <w:i w:val="0"/>
          <w:color w:val="4472C4"/>
          <w:sz w:val="20"/>
        </w:rPr>
        <w:t>DISCHARGE PLANNING AND FOLLOW-UP</w:t>
      </w:r>
    </w:p>
    <w:p>
      <w:r>
        <w:rPr>
          <w:rFonts w:ascii="Arial" w:hAnsi="Arial"/>
          <w:b w:val="0"/>
          <w:i w:val="0"/>
          <w:color w:val="232830"/>
          <w:sz w:val="19"/>
        </w:rPr>
        <w:t>This summary reflects the hospitalization through the HD6 pre-discharge snapshot. The following required final attending synthesis before discharge could be finalized: the final medication reconciliation, with each cardiorenal agent (sacubitril/valsartan, carvedilol, spironolactone, furosemide, empagliflozin, metformin) explicitly continued, restarted, held, or deferred with monitoring and follow-up, and the antibiotic completion versus continuation decision; a clear prednisone instruction aligned with rheumatology taper intent rather than any single fill or patient recollection; confirmation of functional readiness and supervision needs for the planned home environment; family education and confirmation of home support capacity; and coordination of renal, cardiology, endocrine, and primary-care follow-up with renal, potassium, and blood-pressure monitoring. Disposition was anticipated as home with services under coordination and was not finalized at the time of this summary.</w:t>
      </w:r>
    </w:p>
    <w:p>
      <w:pPr>
        <w:spacing w:before="200"/>
        <w:pBdr>
          <w:top w:val="single" w:sz="4" w:color="C9D4EA" w:space="4"/>
        </w:pBdr>
      </w:pPr>
      <w:r>
        <w:rPr>
          <w:rFonts w:ascii="Arial" w:hAnsi="Arial"/>
          <w:b w:val="0"/>
          <w:i/>
          <w:color w:val="5E6670"/>
          <w:sz w:val="18"/>
        </w:rPr>
        <w:t>Electronically signed by Elian Vossmere, MD  |  Hospital Medicine</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Hospital Discharge Summary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