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Interdisciplinary Care Plan</w:t>
            </w:r>
          </w:p>
        </w:tc>
      </w:tr>
    </w:tbl>
    <w:p/>
    <w:p>
      <w:r>
        <w:rPr>
          <w:rFonts w:ascii="Arial" w:hAnsi="Arial"/>
          <w:b/>
          <w:i w:val="0"/>
          <w:color w:val="1F3864"/>
          <w:sz w:val="28"/>
        </w:rPr>
        <w:t>INTERDISCIPLINARY CARE PLAN</w:t>
      </w:r>
    </w:p>
    <w:p>
      <w:r>
        <w:rPr>
          <w:rFonts w:ascii="Arial" w:hAnsi="Arial"/>
          <w:b w:val="0"/>
          <w:i w:val="0"/>
          <w:color w:val="5E6670"/>
          <w:sz w:val="16"/>
        </w:rPr>
        <w:t>Author: Elian Vossmere, MD  |  Department: Hospital Medicine  |  05/24/2026  |  Status: Signed</w:t>
      </w:r>
    </w:p>
    <w:p>
      <w:r>
        <w:rPr>
          <w:rFonts w:ascii="Arial" w:hAnsi="Arial"/>
          <w:b w:val="0"/>
          <w:i w:val="0"/>
          <w:color w:val="232830"/>
          <w:sz w:val="19"/>
        </w:rPr>
        <w:t>Korvin's interdisciplinary plan should be built around one synthesis problem: he is recovering from an acute illness, but the medication, steroid, renal and cardiac, functional, cognitive, and home-transition pieces are not independently resolved by improvement in fever, white count, creatinine, or alertness. The plan below reconciles the consultant recommendations rather than deferring to any single service, and it keeps the unresolved items explicit with owners and follow-up.</w:t>
      </w:r>
    </w:p>
    <w:p>
      <w:r>
        <w:rPr>
          <w:rFonts w:ascii="Arial" w:hAnsi="Arial"/>
          <w:b w:val="0"/>
          <w:i w:val="0"/>
          <w:color w:val="232830"/>
          <w:sz w:val="19"/>
        </w:rPr>
        <w:t>On the resident synthesis draft in the chart: it is a useful starting point and I have kept its accurate clinical facts and its problem structure, but I would not sign it as written. It overstates consultant consensus and treats several conditional items as reconciled. The claim that Cardiology and Nephrology are aligned on a worked-through sequence is not established in the record; the claim that the cardiorenal medication plan is in hand is not yet supported; the steroid reconciliation is not settled; and the support, equipment, teaching, and follow-up logistics are in coordination, not complete. I have revised the draft's readiness framing into the staged, hospitalist-owned plan below.</w:t>
      </w:r>
    </w:p>
    <w:p>
      <w:r>
        <w:rPr>
          <w:rFonts w:ascii="Arial" w:hAnsi="Arial"/>
          <w:b w:val="0"/>
          <w:i w:val="0"/>
          <w:color w:val="232830"/>
          <w:sz w:val="19"/>
        </w:rPr>
        <w:t>Suspected urinary-source infection and acute illness recovery: complete the ordered inpatient treatment and communicate return precautions if discharge proceeds. The infection frame remains reasonable, but it should not be treated as the sole explanation for the weakness, confusion, AKI, medication vulnerability, and transition risk seen this admission.</w:t>
      </w:r>
    </w:p>
    <w:p>
      <w:r>
        <w:rPr>
          <w:rFonts w:ascii="Arial" w:hAnsi="Arial"/>
          <w:b w:val="0"/>
          <w:i w:val="0"/>
          <w:color w:val="232830"/>
          <w:sz w:val="19"/>
        </w:rPr>
        <w:t>AKI on CKD stage 3 with HFrEF and CAD medications: reconcile Cardiology and Nephrology rather than pick a winner. Nephrology is right that recent AKI, potassium risk, limited intake, and hemodynamic reserve argue against indiscriminate restart, and that improving creatinine alone is not a calendar-day clearance for full restart. Cardiology is right that chronic cardioprotective and HFrEF therapy should not be silently lost because it was held during acute illness. Neither consult finalizes a joint sequence, and the MAR shows the held agents (sacubitril/valsartan, spironolactone, empagliflozin) were not restarted and furosemide remained under reassessment. The plan is therefore staged and hospitalist-owned: continue aspirin and atorvastatin unless contraindicated, reassess carvedilol and sacubitril/valsartan against blood pressure and renal trend, be cautious with spironolactone, individualize the diuretic strategy, and defer the SGLT2 inhibitor and metformin until acute illness, intake, and renal criteria are appropriate. Specify monitoring and the responsible service for each step, with early outpatient labs; the sequencing remains open and is not settled at sign-out.</w:t>
      </w:r>
    </w:p>
    <w:p>
      <w:r>
        <w:rPr>
          <w:rFonts w:ascii="Arial" w:hAnsi="Arial"/>
          <w:b w:val="0"/>
          <w:i w:val="0"/>
          <w:color w:val="232830"/>
          <w:sz w:val="19"/>
        </w:rPr>
        <w:t>PMR and chronic prednisone exposure: Rheumatology anchors the intended outpatient taper, while medication reconciliation, pharmacy and refill information, family report, and patient recollection explain why actual recent adherence remains uncertain. Endocrinology's concern is valid because chronic exposure and an unclear taper create plausible adrenal-suppression risk; the primary team's caution is also valid because improvement with infection, renal, volume, and supportive management means adrenal insufficiency is not proven. Avoid abrupt discontinuation, avoid a fabricated numeric outpatient dose, and arrange follow-up to reconcile the taper rather than overstating certainty.</w:t>
      </w:r>
    </w:p>
    <w:p>
      <w:r>
        <w:rPr>
          <w:rFonts w:ascii="Arial" w:hAnsi="Arial"/>
          <w:b w:val="0"/>
          <w:i w:val="0"/>
          <w:color w:val="232830"/>
          <w:sz w:val="19"/>
        </w:rPr>
        <w:t>Diabetes: interpret inpatient glucose management in the context of acute illness, variable intake, renal recovery, and steroid exposure. Reconcile basal insulin and outpatient agents intentionally at discharge, and do not carry inpatient correctional insulin into the home plan without a deliberate outpatient instruction and teaching.</w:t>
      </w:r>
    </w:p>
    <w:p>
      <w:r>
        <w:rPr>
          <w:rFonts w:ascii="Arial" w:hAnsi="Arial"/>
          <w:b w:val="0"/>
          <w:i w:val="0"/>
          <w:color w:val="232830"/>
          <w:sz w:val="19"/>
        </w:rPr>
        <w:t>Function and cognition: treat nursing, PT, OT, and family as core discharge-readiness evidence. Korvin is improving and can participate, but the chart still shows limited endurance, supervision or cueing needs, balance vulnerability with fatigue, and difficulty managing complex medication instructions. Include a specific mobility and ADL support strategy, consistent assistive-device use, explicit family supervision expectations, and home health or outpatient therapy where feasible and indicated.</w:t>
      </w:r>
    </w:p>
    <w:p>
      <w:r>
        <w:rPr>
          <w:rFonts w:ascii="Arial" w:hAnsi="Arial"/>
          <w:b w:val="0"/>
          <w:i w:val="0"/>
          <w:color w:val="232830"/>
          <w:sz w:val="19"/>
        </w:rPr>
        <w:t>Care coordination: Case Management and Social Work should confirm what support is actually available rather than assumed, including family schedule and hands-on capacity, transportation, medication pickup, equipment, home services, the therapy pathway, and early follow-up. The discharge-facing snapshot is useful context, but it documents planning in progress and does not finalize services or prove discharge safety.</w:t>
      </w:r>
    </w:p>
    <w:p>
      <w:r>
        <w:rPr>
          <w:rFonts w:ascii="Arial" w:hAnsi="Arial"/>
          <w:b w:val="0"/>
          <w:i w:val="0"/>
          <w:color w:val="232830"/>
          <w:sz w:val="19"/>
        </w:rPr>
        <w:t>The hospitalist retains the final synthesis. Home discharge can be supported if these pieces align, but as of this snapshot the medication sequence, the prednisone instruction, the functional supports, the family education, the service feasibility, and the follow-up ownership are addressable but not yet complete. They should be confirmed before the discharge order rather than documented as done.</w:t>
      </w:r>
    </w:p>
    <w:p>
      <w:pPr>
        <w:spacing w:before="200"/>
        <w:pBdr>
          <w:top w:val="single" w:sz="4" w:color="C9D4EA" w:space="4"/>
        </w:pBdr>
      </w:pPr>
      <w:r>
        <w:rPr>
          <w:rFonts w:ascii="Arial" w:hAnsi="Arial"/>
          <w:b w:val="0"/>
          <w:i/>
          <w:color w:val="5E6670"/>
          <w:sz w:val="18"/>
        </w:rPr>
        <w:t>Electronically signed by Elian Vossmere, MD  |  Hospital Medicine</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Interdisciplinary Care Plan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