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Pre-Discharge Patient Safety Review - Draft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PRE-DISCHARGE PATIENT SAFETY REVIEW - FALL AND INJURY RISK - DRAFT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Elian Vossmere, MD  |  Department: Hospital Medicine  |  05/23/2026  |  Status: Draft for safety committee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DRAFT for the safety committee - Korvin Merrow pre-discharge fall and injury-risk review, 05/23/2026.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review</w:t>
      </w:r>
    </w:p>
    <w:p>
      <w:r>
        <w:rPr>
          <w:rFonts w:ascii="Arial" w:hAnsi="Arial"/>
          <w:b w:val="0"/>
          <w:i w:val="0"/>
          <w:color w:val="232830"/>
          <w:sz w:val="19"/>
        </w:rPr>
        <w:t>Korvin Merrow, 5W-318, is flagged high fall and injury risk for the transition home after hospitalization 05/18 to 05/24/2026 for suspected urinary-source infection with sepsis physiology and AKI on CKD stage 3, on a background of HFrEF, CAD, type 2 diabetes, PMR on chronic prednisone, OSA, and anemia of CKD. Morse Fall Scale 65 (high risk), unchanged across the stay. Near-fall at home on 05/17/2026 preceded admission. This review consolidates the risk picture for the safety committee.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Contributing factors</w:t>
      </w:r>
    </w:p>
    <w:p>
      <w:r>
        <w:rPr>
          <w:rFonts w:ascii="Arial" w:hAnsi="Arial"/>
          <w:b w:val="0"/>
          <w:i w:val="0"/>
          <w:color w:val="232830"/>
          <w:sz w:val="19"/>
        </w:rPr>
        <w:t>Orthostatic symptoms and limited blood-pressure reserve during recovery from AKI, with lightheadedness on standing documented. Sedating medication: gabapentin held on one day for SBP 98 with lightheadedness. Deconditioning and limited endurance with gait and transfer impairment. Cognitive and medication-management errors under fatigue.</w:t>
      </w:r>
    </w:p>
    <w:p>
      <w:r>
        <w:rPr>
          <w:rFonts w:ascii="Arial" w:hAnsi="Arial"/>
          <w:b w:val="0"/>
          <w:i w:val="0"/>
          <w:color w:val="232830"/>
          <w:sz w:val="19"/>
        </w:rPr>
        <w:t>Orthostatic vital signs were obtained today and were negative, with no significant postural blood-pressure drop, so orthostatic hypotension is not a current contributor.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gaps and recommendations</w:t>
      </w:r>
    </w:p>
    <w:p>
      <w:r>
        <w:rPr>
          <w:rFonts w:ascii="Arial" w:hAnsi="Arial"/>
          <w:b w:val="0"/>
          <w:i w:val="0"/>
          <w:color w:val="232830"/>
          <w:sz w:val="19"/>
        </w:rPr>
        <w:t>Rolling walker and supervised mobility for the early post-discharge period; bedside commode initially, grab bars, and removal of loose rugs. First-week in-home supervision arrangement to confirm with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To finalize: complete the contributing factors and the care gaps and confirm the recommendations for the safety committee before filing.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 started for the safety committee; finalize and file  |  Hospital Medicine, Mercy Vale Regional Medical 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Pre-Discharge Patient Safety Review -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