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Ines Travyn, MD (covering)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Weekend Bridging Order Set - Draft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WEEKEND BRIDGING ORDER SET - DRAFT</w:t>
      </w:r>
    </w:p>
    <w:p>
      <w:r>
        <w:rPr>
          <w:rFonts w:ascii="Arial" w:hAnsi="Arial"/>
          <w:b w:val="0"/>
          <w:i w:val="0"/>
          <w:color w:val="5E6670"/>
          <w:sz w:val="16"/>
        </w:rPr>
        <w:t>Covering: Ines Travyn, MD (PGY-2) for Elian Vossmere, MD, Hospital Medicine | 05/23/2026 | Anticipated discharge 05/24/2026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 | MRN: KM-6427819 | DOB: 02/18/1964 | Unit: 5W-318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1. Scheduled 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1. Carvedilol 6.25 mg PO BID - continue cautiously per cardiology</w:t>
      </w:r>
    </w:p>
    <w:p>
      <w:r>
        <w:rPr>
          <w:rFonts w:ascii="Arial" w:hAnsi="Arial"/>
          <w:b w:val="0"/>
          <w:i w:val="0"/>
          <w:color w:val="232830"/>
          <w:sz w:val="19"/>
        </w:rPr>
        <w:t>2. Insulin glargine 18 units subcutaneous at bedtime - continue per inpatient dose</w:t>
      </w:r>
    </w:p>
    <w:p>
      <w:r>
        <w:rPr>
          <w:rFonts w:ascii="Arial" w:hAnsi="Arial"/>
          <w:b w:val="0"/>
          <w:i w:val="0"/>
          <w:color w:val="232830"/>
          <w:sz w:val="19"/>
        </w:rPr>
        <w:t>3. Cefpodoxime 200 mg PO BID - continue to a defined stop date, confirm with day team</w:t>
      </w:r>
    </w:p>
    <w:p>
      <w:r>
        <w:rPr>
          <w:rFonts w:ascii="Arial" w:hAnsi="Arial"/>
          <w:b w:val="0"/>
          <w:i w:val="0"/>
          <w:color w:val="232830"/>
          <w:sz w:val="19"/>
        </w:rPr>
        <w:t>4. Metformin ER 1000 mg PO BID - resume at discharge</w:t>
      </w:r>
    </w:p>
    <w:p>
      <w:r>
        <w:rPr>
          <w:rFonts w:ascii="Arial" w:hAnsi="Arial"/>
          <w:b w:val="0"/>
          <w:i w:val="0"/>
          <w:color w:val="232830"/>
          <w:sz w:val="19"/>
        </w:rPr>
        <w:t>5. Calcium carbonate/vitamin D 600 mg/400 IU PO BID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6. Ferrous sulfate 325 mg PO daily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7. Gabapentin 300 mg PO nightly - resume at home dose</w:t>
      </w:r>
    </w:p>
    <w:p>
      <w:r>
        <w:rPr>
          <w:rFonts w:ascii="Arial" w:hAnsi="Arial"/>
          <w:b w:val="0"/>
          <w:i w:val="0"/>
          <w:color w:val="232830"/>
          <w:sz w:val="19"/>
        </w:rPr>
        <w:t>8. Pantoprazole 40 mg PO daily - continue home regimen</w:t>
      </w:r>
    </w:p>
    <w:p>
      <w:r>
        <w:rPr>
          <w:rFonts w:ascii="Arial" w:hAnsi="Arial"/>
          <w:b w:val="0"/>
          <w:i w:val="0"/>
          <w:color w:val="232830"/>
          <w:sz w:val="19"/>
        </w:rPr>
        <w:t>9. Aspirin 81 mg PO daily - continue</w:t>
      </w:r>
    </w:p>
    <w:p>
      <w:r>
        <w:rPr>
          <w:rFonts w:ascii="Arial" w:hAnsi="Arial"/>
          <w:b w:val="0"/>
          <w:i w:val="0"/>
          <w:color w:val="232830"/>
          <w:sz w:val="19"/>
        </w:rPr>
        <w:t>10. Atorvastatin 40 mg PO nightly - continue</w:t>
      </w:r>
    </w:p>
    <w:p>
      <w:r>
        <w:rPr>
          <w:rFonts w:ascii="Arial" w:hAnsi="Arial"/>
          <w:b w:val="0"/>
          <w:i w:val="0"/>
          <w:color w:val="232830"/>
          <w:sz w:val="19"/>
        </w:rPr>
        <w:t>11. Prednisone - continue at home dose, do not change without rheumatology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2. PRN 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12. Acetaminophen 650 mg PO q6h PRN pain or fever</w:t>
      </w:r>
    </w:p>
    <w:p>
      <w:r>
        <w:rPr>
          <w:rFonts w:ascii="Arial" w:hAnsi="Arial"/>
          <w:b w:val="0"/>
          <w:i w:val="0"/>
          <w:color w:val="232830"/>
          <w:sz w:val="19"/>
        </w:rPr>
        <w:t>13. Ibuprofen 600 mg PO TID PRN musculoskeletal pain</w:t>
      </w:r>
    </w:p>
    <w:p>
      <w:r>
        <w:rPr>
          <w:rFonts w:ascii="Arial" w:hAnsi="Arial"/>
          <w:b w:val="0"/>
          <w:i w:val="0"/>
          <w:color w:val="232830"/>
          <w:sz w:val="19"/>
        </w:rPr>
        <w:t>14. Zolpidem 5 mg PO nightly PRN insomnia</w:t>
      </w:r>
    </w:p>
    <w:p>
      <w:r>
        <w:rPr>
          <w:rFonts w:ascii="Arial" w:hAnsi="Arial"/>
          <w:b w:val="0"/>
          <w:i w:val="0"/>
          <w:color w:val="232830"/>
          <w:sz w:val="19"/>
        </w:rPr>
        <w:t>15. Ondansetron 4 mg PO q8h PRN nausea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3. Pending studies and referrals</w:t>
      </w:r>
    </w:p>
    <w:p>
      <w:r>
        <w:rPr>
          <w:rFonts w:ascii="Arial" w:hAnsi="Arial"/>
          <w:b w:val="0"/>
          <w:i w:val="0"/>
          <w:color w:val="232830"/>
          <w:sz w:val="19"/>
        </w:rPr>
        <w:t>16. CT abdomen/pelvis with IV contrast - outpatient, evaluate persistent flank discomfort</w:t>
      </w:r>
    </w:p>
    <w:p>
      <w:r>
        <w:rPr>
          <w:rFonts w:ascii="Arial" w:hAnsi="Arial"/>
          <w:b w:val="0"/>
          <w:i w:val="0"/>
          <w:color w:val="232830"/>
          <w:sz w:val="19"/>
        </w:rPr>
        <w:t>17. Outpatient labs - BMP and CBC within 5-7 days per nephrology (renal trend, potassium)</w:t>
      </w:r>
    </w:p>
    <w:p>
      <w:r>
        <w:rPr>
          <w:rFonts w:ascii="Arial" w:hAnsi="Arial"/>
          <w:b w:val="0"/>
          <w:i w:val="0"/>
          <w:color w:val="232830"/>
          <w:sz w:val="19"/>
        </w:rPr>
        <w:t>18. Cardiology, Dr. Caldrane, within 2 weeks (cardiorenal restart)</w:t>
      </w:r>
    </w:p>
    <w:p>
      <w:r>
        <w:rPr>
          <w:rFonts w:ascii="Arial" w:hAnsi="Arial"/>
          <w:b w:val="0"/>
          <w:i w:val="0"/>
          <w:color w:val="232830"/>
          <w:sz w:val="19"/>
        </w:rPr>
        <w:t>19. Nephrology, Dr. Solthar, within 2-3 weeks</w:t>
      </w:r>
    </w:p>
    <w:p>
      <w:r>
        <w:rPr>
          <w:rFonts w:ascii="Arial" w:hAnsi="Arial"/>
          <w:b w:val="0"/>
          <w:i w:val="0"/>
          <w:color w:val="232830"/>
          <w:sz w:val="19"/>
        </w:rPr>
        <w:t>20. Rheumatology, Dr. Halvek (prednisone taper)</w:t>
      </w:r>
    </w:p>
    <w:p>
      <w:r>
        <w:rPr>
          <w:rFonts w:ascii="Arial" w:hAnsi="Arial"/>
          <w:b w:val="0"/>
          <w:i w:val="0"/>
          <w:color w:val="232830"/>
          <w:sz w:val="19"/>
        </w:rPr>
        <w:t>21. Primary care within 1 week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Section 4. Discharge instructions and safety</w:t>
      </w:r>
    </w:p>
    <w:p>
      <w:r>
        <w:rPr>
          <w:rFonts w:ascii="Arial" w:hAnsi="Arial"/>
          <w:b w:val="0"/>
          <w:i w:val="0"/>
          <w:color w:val="232830"/>
          <w:sz w:val="19"/>
        </w:rPr>
        <w:t>22. Home services in coordination with Case Management (Priya Ostroff, RN, BSN, CCM); acceptance and delivery not yet confirmed</w:t>
      </w:r>
    </w:p>
    <w:p>
      <w:r>
        <w:rPr>
          <w:rFonts w:ascii="Arial" w:hAnsi="Arial"/>
          <w:b w:val="0"/>
          <w:i w:val="0"/>
          <w:color w:val="232830"/>
          <w:sz w:val="19"/>
        </w:rPr>
        <w:t>23. DME: rolling walker, bedside commode, grab bars per PT/OT - delivery pending</w:t>
      </w:r>
    </w:p>
    <w:p>
      <w:r>
        <w:rPr>
          <w:rFonts w:ascii="Arial" w:hAnsi="Arial"/>
          <w:b w:val="0"/>
          <w:i w:val="0"/>
          <w:color w:val="232830"/>
          <w:sz w:val="19"/>
        </w:rPr>
        <w:t>24. Activity: supervised mobility for the first 5-7 days per PT, then home or outpatient PT reassessment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25. Fall precautions at home: rolling walker for all ambulation, remove loose rugs, bathroom grab bars</w:t>
      </w:r>
    </w:p>
    <w:p>
      <w:r>
        <w:rPr>
          <w:rFonts w:ascii="Arial" w:hAnsi="Arial"/>
          <w:b w:val="0"/>
          <w:i w:val="0"/>
          <w:color w:val="232830"/>
          <w:sz w:val="19"/>
        </w:rPr>
        <w:t>26. Continue home CPAP nightly for OSA</w:t>
      </w:r>
    </w:p>
    <w:p>
      <w:r>
        <w:rPr>
          <w:rFonts w:ascii="Arial" w:hAnsi="Arial"/>
          <w:b w:val="0"/>
          <w:i w:val="0"/>
          <w:color w:val="232830"/>
          <w:sz w:val="19"/>
        </w:rPr>
        <w:t>27. Return precautions: worsening confusion, new falls, chest pain, dyspnea, weight gain over 2 lbs/day, decreased urine output, or fever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Started by Ines Travyn, MD (PGY-2) | Attending review and co-signature pending before discharge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Weekend Bridging Order Set -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