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Interdisciplinary Care Plan</w:t>
            </w:r>
          </w:p>
        </w:tc>
      </w:tr>
    </w:tbl>
    <w:p/>
    <w:p>
      <w:r>
        <w:rPr>
          <w:rFonts w:ascii="Arial" w:hAnsi="Arial"/>
          <w:b/>
          <w:i w:val="0"/>
          <w:color w:val="1F3864"/>
          <w:sz w:val="28"/>
        </w:rPr>
        <w:t>INTERDISCIPLINARY CARE PLAN - TRANSITION TO HOME</w:t>
      </w:r>
    </w:p>
    <w:p>
      <w:r>
        <w:rPr>
          <w:rFonts w:ascii="Arial" w:hAnsi="Arial"/>
          <w:b w:val="0"/>
          <w:i w:val="0"/>
          <w:color w:val="5E6670"/>
          <w:sz w:val="16"/>
        </w:rPr>
        <w:t>Author: Elian Vossmere, MD  |  Department: Hospital Medicine  |  05/24/2026  |  Status: Signed</w:t>
      </w:r>
    </w:p>
    <w:p>
      <w:r>
        <w:rPr>
          <w:rFonts w:ascii="Arial" w:hAnsi="Arial"/>
          <w:b w:val="0"/>
          <w:i w:val="0"/>
          <w:color w:val="232830"/>
          <w:sz w:val="19"/>
        </w:rPr>
        <w:t>Reason for transition: Korvin Merrow is a 62-year-old man finalized for discharge home on 05/24/2026 after this admission for suspected urinary-source infection with sepsis physiology and AKI on CKD stage 3, both improved, on a background of HFrEF and CAD with protective therapy held, type 2 diabetes, polymyalgia rheumatica on chronic prednisone, obstructive sleep apnea on home CPAP, and anemia of chronic kidney disease. This interdisciplinary care plan consolidates the consult recommendations for filing.</w:t>
      </w:r>
    </w:p>
    <w:p>
      <w:r>
        <w:rPr>
          <w:rFonts w:ascii="Arial" w:hAnsi="Arial"/>
          <w:b w:val="0"/>
          <w:i w:val="0"/>
          <w:color w:val="232830"/>
          <w:sz w:val="19"/>
        </w:rPr>
        <w:t>Infection and sepsis physiology: suspected urinary-source infection, improved. Oral step-down in progress with renal dosing review; complete the prescribed course and confirm the final stop date on the discharge prescription.</w:t>
      </w:r>
    </w:p>
    <w:p>
      <w:r>
        <w:rPr>
          <w:rFonts w:ascii="Arial" w:hAnsi="Arial"/>
          <w:b w:val="0"/>
          <w:i w:val="0"/>
          <w:color w:val="232830"/>
          <w:sz w:val="19"/>
        </w:rPr>
        <w:t>Acute kidney injury on CKD stage 3: prerenal AKI from poor intake and infection-related hemodynamics, resolved to the outpatient baseline by laboratory criteria. Furosemide held; continue volume and renal-function monitoring with an outpatient recheck.</w:t>
      </w:r>
    </w:p>
    <w:p>
      <w:r>
        <w:rPr>
          <w:rFonts w:ascii="Arial" w:hAnsi="Arial"/>
          <w:b w:val="0"/>
          <w:i w:val="0"/>
          <w:color w:val="232830"/>
          <w:sz w:val="19"/>
        </w:rPr>
        <w:t>HFrEF and CAD protective therapy: sacubitril/valsartan, spironolactone, empagliflozin, and furosemide remain held; carvedilol continued cautiously. Restart is staged, parameter-gated, and coordinated between cardiology and nephrology, not finalized inpatient; defer to outpatient cardiology within two weeks for titration and orthostatic assessment. Provide written restart instructions to the family.</w:t>
      </w:r>
    </w:p>
    <w:p>
      <w:r>
        <w:rPr>
          <w:rFonts w:ascii="Arial" w:hAnsi="Arial"/>
          <w:b w:val="0"/>
          <w:i w:val="0"/>
          <w:color w:val="232830"/>
          <w:sz w:val="19"/>
        </w:rPr>
        <w:t>Glycemic management: metformin held during renal recovery; basal insulin continued; inpatient correctional insulin is not carried home. Reconcile the outpatient regimen with primary care and endocrinology.</w:t>
      </w:r>
    </w:p>
    <w:p>
      <w:r>
        <w:rPr>
          <w:rFonts w:ascii="Arial" w:hAnsi="Arial"/>
          <w:b w:val="0"/>
          <w:i w:val="0"/>
          <w:color w:val="232830"/>
          <w:sz w:val="19"/>
        </w:rPr>
        <w:t>Polymyalgia rheumatica and steroid management: continue prednisone without asserting a numeric dose, which the inpatient record does not establish; reconcile the dose and taper with rheumatology at follow-up per the documented cautious-taper intent.</w:t>
      </w:r>
    </w:p>
    <w:p>
      <w:r>
        <w:rPr>
          <w:rFonts w:ascii="Arial" w:hAnsi="Arial"/>
          <w:b w:val="0"/>
          <w:i w:val="0"/>
          <w:color w:val="232830"/>
          <w:sz w:val="19"/>
        </w:rPr>
        <w:t>Anemia of chronic kidney disease: chronic anemia of CKD at the patient's documented baseline range, managed on home ferrous sulfate. No inpatient iron studies were obtained this admission. Per the admission plan, trend hemoglobin and reconcile ferrous sulfate at outpatient follow-up. No hematologic workup is documented as complete, and none is asserted as resulting; this remains an open outpatient item rather than a closed one.</w:t>
      </w:r>
    </w:p>
    <w:p>
      <w:r>
        <w:rPr>
          <w:rFonts w:ascii="Arial" w:hAnsi="Arial"/>
          <w:b w:val="0"/>
          <w:i w:val="0"/>
          <w:color w:val="232830"/>
          <w:sz w:val="19"/>
        </w:rPr>
        <w:t>[PHYSICIAN SIGNIFICANCE LINE - Alexander to write in his own voice: the clinical significance of keeping anemia of CKD framed as open and at baseline rather than worked-up and closed in this multimorbid CKD patient. Replace this bracketed line before sign-off.]</w:t>
      </w:r>
    </w:p>
    <w:p>
      <w:r>
        <w:rPr>
          <w:rFonts w:ascii="Arial" w:hAnsi="Arial"/>
          <w:b w:val="0"/>
          <w:i w:val="0"/>
          <w:color w:val="232830"/>
          <w:sz w:val="19"/>
        </w:rPr>
        <w:t>Functional status and mobility: below prior indoor baseline, improving. Rolling walker rather than cane, bedside commode initially, grab bars, and removal of loose rugs; supervised mobility for the first five to seven days with home or outpatient physical-therapy reassessment.</w:t>
      </w:r>
    </w:p>
    <w:p>
      <w:r>
        <w:rPr>
          <w:rFonts w:ascii="Arial" w:hAnsi="Arial"/>
          <w:b w:val="0"/>
          <w:i w:val="0"/>
          <w:color w:val="232830"/>
          <w:sz w:val="19"/>
        </w:rPr>
        <w:t>Cognition and medication management: reproducible medication-timing errors under fatigue. Pre-filled weekly organizer with supervision, teach-back with family for any new or changed medication, daily family verification at medication times for the first five to seven days, and outpatient occupational-therapy referral if not progressed by thirty days; the patient should not be solely responsible for new or changed medications in the early window.</w:t>
      </w:r>
    </w:p>
    <w:p>
      <w:r>
        <w:rPr>
          <w:rFonts w:ascii="Arial" w:hAnsi="Arial"/>
          <w:b w:val="0"/>
          <w:i w:val="0"/>
          <w:color w:val="232830"/>
          <w:sz w:val="19"/>
        </w:rPr>
        <w:t>Family and caregiver plan: Mara Merrow is the designated healthcare proxy and primary caregiver; daughter Lenora Merrow-Halsey provides intermittent and weekend support and transportation and is not the weekday-morning caregiver. Finalize the first-week in-home supervision level with explicit expectations for the family.</w:t>
      </w:r>
    </w:p>
    <w:p>
      <w:r>
        <w:rPr>
          <w:rFonts w:ascii="Arial" w:hAnsi="Arial"/>
          <w:b w:val="0"/>
          <w:i w:val="0"/>
          <w:color w:val="232830"/>
          <w:sz w:val="19"/>
        </w:rPr>
        <w:t>Obstructive sleep apnea: continue home CPAP.</w:t>
      </w:r>
    </w:p>
    <w:p>
      <w:r>
        <w:rPr>
          <w:rFonts w:ascii="Arial" w:hAnsi="Arial"/>
          <w:b w:val="0"/>
          <w:i w:val="0"/>
          <w:color w:val="232830"/>
          <w:sz w:val="19"/>
        </w:rPr>
        <w:t>Discharge logistics and follow-up: planned discharge 05/24/2026. Home services in coordination through Case Management, with skilled-nursing referral, therapy continuation, and equipment. Follow-up with cardiology within two weeks, primary care, rheumatology, and nephrology; family present for discharge teaching. Confirm the antibiotic stop date, the first-week supervision level, and the home-services arrangements before filing.</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Interdisciplinary Care Plan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