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spacing w:before="0" w:after="100" w:line="280" w:lineRule="auto"/>
      </w:pPr>
      <w:r>
        <w:rPr>
          <w:rFonts w:ascii="Arial" w:hAnsi="Arial"/>
          <w:b/>
          <w:color w:val="111827"/>
          <w:sz w:val="38"/>
        </w:rPr>
        <w:t>Ondina Vasquell Brainstorm Claude Transcript</w:t>
      </w:r>
    </w:p>
    <w:p>
      <w:pPr>
        <w:spacing w:before="0" w:after="60" w:line="250" w:lineRule="auto"/>
      </w:pPr>
      <w:r>
        <w:rPr>
          <w:rFonts w:ascii="Arial" w:hAnsi="Arial"/>
          <w:color w:val="374151"/>
          <w:sz w:val="20"/>
        </w:rPr>
        <w:t>Run: 7a6fd723-a3d7-487c-a6b2-798df59e5c91</w:t>
      </w:r>
    </w:p>
    <w:p>
      <w:pPr>
        <w:spacing w:before="0" w:after="60" w:line="250" w:lineRule="auto"/>
      </w:pPr>
      <w:r>
        <w:rPr>
          <w:rFonts w:ascii="Arial" w:hAnsi="Arial"/>
          <w:color w:val="374151"/>
          <w:sz w:val="20"/>
        </w:rPr>
        <w:t>Source: https://claude.ai/share/7a6fd723-a3d7-487c-a6b2-798df59e5c91</w:t>
      </w:r>
    </w:p>
    <w:p>
      <w:pPr>
        <w:spacing w:before="0" w:after="60" w:line="250" w:lineRule="auto"/>
      </w:pPr>
      <w:r>
        <w:rPr>
          <w:rFonts w:ascii="Arial" w:hAnsi="Arial"/>
          <w:color w:val="374151"/>
          <w:sz w:val="20"/>
        </w:rPr>
        <w:t>Session date: June 12, 2026</w:t>
      </w:r>
    </w:p>
    <w:p>
      <w:pPr>
        <w:spacing w:before="0" w:after="60" w:line="250" w:lineRule="auto"/>
      </w:pPr>
      <w:r>
        <w:rPr>
          <w:rFonts w:ascii="Arial" w:hAnsi="Arial"/>
          <w:color w:val="374151"/>
          <w:sz w:val="20"/>
        </w:rPr>
        <w:t>Scope: Brainstorm design, candidate selection, critique, AutoQC response, and readiness check</w:t>
      </w:r>
    </w:p>
    <w:p>
      <w:pPr>
        <w:spacing w:before="0" w:after="60" w:line="250" w:lineRule="auto"/>
      </w:pPr>
      <w:r>
        <w:rPr>
          <w:rFonts w:ascii="Arial" w:hAnsi="Arial"/>
          <w:color w:val="374151"/>
          <w:sz w:val="20"/>
        </w:rPr>
        <w:t>Status at close: Brainstorm AutoQC passed, pending human Brainstorm review</w:t>
      </w:r>
    </w:p>
    <w:p>
      <w:pPr>
        <w:spacing w:before="280" w:after="20" w:line="250" w:lineRule="auto"/>
      </w:pPr>
      <w:r>
        <w:rPr>
          <w:rFonts w:ascii="Arial" w:hAnsi="Arial"/>
          <w:b/>
          <w:color w:val="1F4D78"/>
          <w:sz w:val="24"/>
        </w:rPr>
        <w:t>1.</w:t>
      </w:r>
    </w:p>
    <w:p>
      <w:pPr>
        <w:spacing w:before="60" w:after="60" w:line="250" w:lineRule="auto"/>
      </w:pPr>
      <w:r>
        <w:rPr>
          <w:rFonts w:ascii="Arial" w:hAnsi="Arial"/>
          <w:b/>
          <w:color w:val="6B7280"/>
          <w:sz w:val="22"/>
        </w:rPr>
        <w:t>System</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8FAFC"/>
            <w:tcBorders>
              <w:top w:val="single" w:sz="6" w:space="0" w:color="CBD5E1"/>
              <w:right w:val="single" w:sz="6" w:space="0" w:color="CBD5E1"/>
              <w:bottom w:val="single" w:sz="6" w:space="0" w:color="CBD5E1"/>
              <w:left w:val="single" w:sz="14" w:space="0" w:color="6B7280"/>
            </w:tcBorders>
          </w:tcPr>
          <w:p>
            <w:pPr>
              <w:spacing w:before="0" w:after="20" w:line="232" w:lineRule="auto"/>
            </w:pPr>
            <w:r>
              <w:rPr>
                <w:rFonts w:ascii="Courier New" w:hAnsi="Courier New"/>
                <w:color w:val="111827"/>
                <w:sz w:val="17"/>
              </w:rPr>
              <w:t>Human: You are supporting Dr. Alexander Udeogaranya on clinical world building. Stay in Brainstorm scope. Do not build files, do not draft the World Spec, and do not take platform action. Help organize candidate selection, task variety, fairness gates, and reviewer readiness.</w:t>
            </w:r>
          </w:p>
        </w:tc>
      </w:tr>
    </w:tbl>
    <w:p>
      <w:pPr>
        <w:spacing w:before="0" w:after="60" w:line="200" w:lineRule="auto"/>
      </w:pPr>
    </w:p>
    <w:p/>
    <w:p>
      <w:pPr>
        <w:spacing w:before="280" w:after="20" w:line="250" w:lineRule="auto"/>
      </w:pPr>
      <w:r>
        <w:rPr>
          <w:rFonts w:ascii="Arial" w:hAnsi="Arial"/>
          <w:b/>
          <w:color w:val="1F4D78"/>
          <w:sz w:val="24"/>
        </w:rPr>
        <w:t>2.</w:t>
      </w:r>
    </w:p>
    <w:p>
      <w:pPr>
        <w:spacing w:before="60" w:after="60" w:line="250" w:lineRule="auto"/>
      </w:pPr>
      <w:r>
        <w:rPr>
          <w:rFonts w:ascii="Arial" w:hAnsi="Arial"/>
          <w:b/>
          <w:color w:val="1F4D78"/>
          <w:sz w:val="22"/>
        </w:rPr>
        <w:t>Human</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6F8FA"/>
            <w:tcBorders>
              <w:top w:val="single" w:sz="6" w:space="0" w:color="D0D7DE"/>
              <w:right w:val="single" w:sz="6" w:space="0" w:color="D0D7DE"/>
              <w:bottom w:val="single" w:sz="6" w:space="0" w:color="D0D7DE"/>
              <w:left w:val="single" w:sz="14" w:space="0" w:color="1F4D78"/>
            </w:tcBorders>
          </w:tcPr>
          <w:p>
            <w:pPr>
              <w:spacing w:before="0" w:after="20" w:line="232" w:lineRule="auto"/>
            </w:pPr>
            <w:r>
              <w:rPr>
                <w:rFonts w:ascii="Courier New" w:hAnsi="Courier New"/>
                <w:color w:val="111827"/>
                <w:sz w:val="17"/>
              </w:rPr>
              <w:t>I need help planning the next world. Last time we locked the patient and the chart before we had the task and trap architecture, and we paid for it. Do not build anything. Make the planning materials a ready-to-go imaginative playground for internal medicine.</w:t>
            </w:r>
          </w:p>
        </w:tc>
      </w:tr>
    </w:tbl>
    <w:p>
      <w:pPr>
        <w:spacing w:before="0" w:after="60" w:line="200" w:lineRule="auto"/>
      </w:pPr>
    </w:p>
    <w:p/>
    <w:p>
      <w:pPr>
        <w:spacing w:before="60" w:after="60" w:line="250" w:lineRule="auto"/>
      </w:pPr>
      <w:r>
        <w:rPr>
          <w:rFonts w:ascii="Arial" w:hAnsi="Arial"/>
          <w:b/>
          <w:color w:val="8A5A44"/>
          <w:sz w:val="22"/>
        </w:rPr>
        <w:t>Assistant</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BF7F0"/>
            <w:tcBorders>
              <w:top w:val="single" w:sz="6" w:space="0" w:color="E4D8C8"/>
              <w:right w:val="single" w:sz="6" w:space="0" w:color="E4D8C8"/>
              <w:bottom w:val="single" w:sz="6" w:space="0" w:color="E4D8C8"/>
              <w:left w:val="single" w:sz="14" w:space="0" w:color="8A5A44"/>
            </w:tcBorders>
          </w:tcPr>
          <w:p>
            <w:pPr>
              <w:spacing w:before="0" w:after="20" w:line="232" w:lineRule="auto"/>
            </w:pPr>
            <w:r>
              <w:rPr>
                <w:rFonts w:ascii="Courier New" w:hAnsi="Courier New"/>
                <w:color w:val="111827"/>
                <w:sz w:val="17"/>
              </w:rPr>
              <w:t>Understood. Planning only, and I will start from the task layer instead of the chart.</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The early gate I would hold us to:</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1. Pick a clinical case that can carry ten genuinely different physician-facing workflows, not ten flavors of the same summary.</w:t>
            </w:r>
          </w:p>
          <w:p>
            <w:pPr>
              <w:spacing w:before="0" w:after="20" w:line="232" w:lineRule="auto"/>
            </w:pPr>
            <w:r>
              <w:rPr>
                <w:rFonts w:ascii="Courier New" w:hAnsi="Courier New"/>
                <w:color w:val="111827"/>
                <w:sz w:val="17"/>
              </w:rPr>
              <w:t>2. Keep the world files as raw material. No shared document should hand over the answer to any task.</w:t>
            </w:r>
          </w:p>
          <w:p>
            <w:pPr>
              <w:spacing w:before="0" w:after="20" w:line="232" w:lineRule="auto"/>
            </w:pPr>
            <w:r>
              <w:rPr>
                <w:rFonts w:ascii="Courier New" w:hAnsi="Courier New"/>
                <w:color w:val="111827"/>
                <w:sz w:val="17"/>
              </w:rPr>
              <w:t>3. Build the traps out of realistic source conflict, timing, authorship, payer pressure, or missing data, not planted errors.</w:t>
            </w:r>
          </w:p>
          <w:p>
            <w:pPr>
              <w:spacing w:before="0" w:after="20" w:line="232" w:lineRule="auto"/>
            </w:pPr>
            <w:r>
              <w:rPr>
                <w:rFonts w:ascii="Courier New" w:hAnsi="Courier New"/>
                <w:color w:val="111827"/>
                <w:sz w:val="17"/>
              </w:rPr>
              <w:t>4. Keep same-author drafts fair with placeholders or an explicit instruction to correct, so finishing the draft is not a trick.</w:t>
            </w:r>
          </w:p>
          <w:p>
            <w:pPr>
              <w:spacing w:before="0" w:after="20" w:line="232" w:lineRule="auto"/>
            </w:pPr>
            <w:r>
              <w:rPr>
                <w:rFonts w:ascii="Courier New" w:hAnsi="Courier New"/>
                <w:color w:val="111827"/>
                <w:sz w:val="17"/>
              </w:rPr>
              <w:t>5. Keep every task self-contained, with no dependence on public medical knowledge after July 31, 2025.</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If we choose the case for workflow spread first, the chart almost designs itself afterward.</w:t>
            </w:r>
          </w:p>
        </w:tc>
      </w:tr>
    </w:tbl>
    <w:p>
      <w:pPr>
        <w:spacing w:before="0" w:after="60" w:line="200" w:lineRule="auto"/>
      </w:pPr>
    </w:p>
    <w:p/>
    <w:p>
      <w:pPr>
        <w:spacing w:before="280" w:after="20" w:line="250" w:lineRule="auto"/>
      </w:pPr>
      <w:r>
        <w:rPr>
          <w:rFonts w:ascii="Arial" w:hAnsi="Arial"/>
          <w:b/>
          <w:color w:val="1F4D78"/>
          <w:sz w:val="24"/>
        </w:rPr>
        <w:t>3.</w:t>
      </w:r>
    </w:p>
    <w:p>
      <w:pPr>
        <w:spacing w:before="60" w:after="60" w:line="250" w:lineRule="auto"/>
      </w:pPr>
      <w:r>
        <w:rPr>
          <w:rFonts w:ascii="Arial" w:hAnsi="Arial"/>
          <w:b/>
          <w:color w:val="1F4D78"/>
          <w:sz w:val="22"/>
        </w:rPr>
        <w:t>Human</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6F8FA"/>
            <w:tcBorders>
              <w:top w:val="single" w:sz="6" w:space="0" w:color="D0D7DE"/>
              <w:right w:val="single" w:sz="6" w:space="0" w:color="D0D7DE"/>
              <w:bottom w:val="single" w:sz="6" w:space="0" w:color="D0D7DE"/>
              <w:left w:val="single" w:sz="14" w:space="0" w:color="1F4D78"/>
            </w:tcBorders>
          </w:tcPr>
          <w:p>
            <w:pPr>
              <w:spacing w:before="0" w:after="20" w:line="232" w:lineRule="auto"/>
            </w:pPr>
            <w:r>
              <w:rPr>
                <w:rFonts w:ascii="Courier New" w:hAnsi="Courier New"/>
                <w:color w:val="111827"/>
                <w:sz w:val="17"/>
              </w:rPr>
              <w:t>No ten repeated summaries. Give me ten complex internal medicine cases, then we check them against the prior-world lessons and pick the one that truly stresses clinical judgment.</w:t>
            </w:r>
          </w:p>
        </w:tc>
      </w:tr>
    </w:tbl>
    <w:p>
      <w:pPr>
        <w:spacing w:before="0" w:after="60" w:line="200" w:lineRule="auto"/>
      </w:pPr>
    </w:p>
    <w:p/>
    <w:p>
      <w:pPr>
        <w:spacing w:before="60" w:after="60" w:line="250" w:lineRule="auto"/>
      </w:pPr>
      <w:r>
        <w:rPr>
          <w:rFonts w:ascii="Arial" w:hAnsi="Arial"/>
          <w:b/>
          <w:color w:val="8A5A44"/>
          <w:sz w:val="22"/>
        </w:rPr>
        <w:t>Assistant</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BF7F0"/>
            <w:tcBorders>
              <w:top w:val="single" w:sz="6" w:space="0" w:color="E4D8C8"/>
              <w:right w:val="single" w:sz="6" w:space="0" w:color="E4D8C8"/>
              <w:bottom w:val="single" w:sz="6" w:space="0" w:color="E4D8C8"/>
              <w:left w:val="single" w:sz="14" w:space="0" w:color="8A5A44"/>
            </w:tcBorders>
          </w:tcPr>
          <w:p>
            <w:pPr>
              <w:spacing w:before="0" w:after="20" w:line="232" w:lineRule="auto"/>
            </w:pPr>
            <w:r>
              <w:rPr>
                <w:rFonts w:ascii="Courier New" w:hAnsi="Courier New"/>
                <w:color w:val="111827"/>
                <w:sz w:val="17"/>
              </w:rPr>
              <w:t>I am scoring each candidate on four things: whether it supports ten distinct physician-facing workflows, whether its traps come from real source conflict rather than planted error, whether every task stays self-contained, and whether the world files can stay raw material instead of an answer key. The strongest cases are ordinary high-stakes admissions with messy documentation, competing specialties, and administrative surfaces.</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1. Limb-threat diabetic foot infection with vascular disease, renal dosing, payer denial, wound care, offloading, coding, and quality abstraction.</w:t>
            </w:r>
          </w:p>
          <w:p>
            <w:pPr>
              <w:spacing w:before="0" w:after="20" w:line="232" w:lineRule="auto"/>
            </w:pPr>
            <w:r>
              <w:rPr>
                <w:rFonts w:ascii="Courier New" w:hAnsi="Courier New"/>
                <w:color w:val="111827"/>
                <w:sz w:val="17"/>
              </w:rPr>
              <w:t>2. Decompensated cirrhosis with transplant questions, encephalopathy, infection uncertainty, renal injury, nutrition, and placement tension.</w:t>
            </w:r>
          </w:p>
          <w:p>
            <w:pPr>
              <w:spacing w:before="0" w:after="20" w:line="232" w:lineRule="auto"/>
            </w:pPr>
            <w:r>
              <w:rPr>
                <w:rFonts w:ascii="Courier New" w:hAnsi="Courier New"/>
                <w:color w:val="111827"/>
                <w:sz w:val="17"/>
              </w:rPr>
              <w:t>3. COPD and heart failure overlap with oxygen qualification, steroids, infection uncertainty, and readmission risk.</w:t>
            </w:r>
          </w:p>
          <w:p>
            <w:pPr>
              <w:spacing w:before="0" w:after="20" w:line="232" w:lineRule="auto"/>
            </w:pPr>
            <w:r>
              <w:rPr>
                <w:rFonts w:ascii="Courier New" w:hAnsi="Courier New"/>
                <w:color w:val="111827"/>
                <w:sz w:val="17"/>
              </w:rPr>
              <w:t>4. Anticoagulation complication with GI bleed, atrial fibrillation, procedure timing, restart timing, and prior authorization.</w:t>
            </w:r>
          </w:p>
          <w:p>
            <w:pPr>
              <w:spacing w:before="0" w:after="20" w:line="232" w:lineRule="auto"/>
            </w:pPr>
            <w:r>
              <w:rPr>
                <w:rFonts w:ascii="Courier New" w:hAnsi="Courier New"/>
                <w:color w:val="111827"/>
                <w:sz w:val="17"/>
              </w:rPr>
              <w:t>5. Cancer-associated thrombosis with infection, nutrition, pain, and home infusion planning.</w:t>
            </w:r>
          </w:p>
          <w:p>
            <w:pPr>
              <w:spacing w:before="0" w:after="20" w:line="232" w:lineRule="auto"/>
            </w:pPr>
            <w:r>
              <w:rPr>
                <w:rFonts w:ascii="Courier New" w:hAnsi="Courier New"/>
                <w:color w:val="111827"/>
                <w:sz w:val="17"/>
              </w:rPr>
              <w:t>6. Stroke mimic or TIA workup with functional decline, imaging ambiguity, and rehab disposition.</w:t>
            </w:r>
          </w:p>
          <w:p>
            <w:pPr>
              <w:spacing w:before="0" w:after="20" w:line="232" w:lineRule="auto"/>
            </w:pPr>
            <w:r>
              <w:rPr>
                <w:rFonts w:ascii="Courier New" w:hAnsi="Courier New"/>
                <w:color w:val="111827"/>
                <w:sz w:val="17"/>
              </w:rPr>
              <w:t>7. Endocarditis rule-out with bacteremia, line access, echo timing, and outpatient parenteral therapy planning.</w:t>
            </w:r>
          </w:p>
          <w:p>
            <w:pPr>
              <w:spacing w:before="0" w:after="20" w:line="232" w:lineRule="auto"/>
            </w:pPr>
            <w:r>
              <w:rPr>
                <w:rFonts w:ascii="Courier New" w:hAnsi="Courier New"/>
                <w:color w:val="111827"/>
                <w:sz w:val="17"/>
              </w:rPr>
              <w:t>8. Complex pneumonia with aspiration, dysphagia, antibiotics, and facility placement.</w:t>
            </w:r>
          </w:p>
          <w:p>
            <w:pPr>
              <w:spacing w:before="0" w:after="20" w:line="232" w:lineRule="auto"/>
            </w:pPr>
            <w:r>
              <w:rPr>
                <w:rFonts w:ascii="Courier New" w:hAnsi="Courier New"/>
                <w:color w:val="111827"/>
                <w:sz w:val="17"/>
              </w:rPr>
              <w:t>9. Older adult fall with rhabdomyolysis, delirium, medication holds, and capacity questions.</w:t>
            </w:r>
          </w:p>
          <w:p>
            <w:pPr>
              <w:spacing w:before="0" w:after="20" w:line="232" w:lineRule="auto"/>
            </w:pPr>
            <w:r>
              <w:rPr>
                <w:rFonts w:ascii="Courier New" w:hAnsi="Courier New"/>
                <w:color w:val="111827"/>
                <w:sz w:val="17"/>
              </w:rPr>
              <w:t>10. Severe anemia with kidney disease, occult bleeding concern, transfusion threshold, coding, and follow-up.</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Recommendation: limb-threat diabetic foot infection. It is common enough to be clinically fair, but it opens many non-textbook failure routes. A strong generalist will know diabetes in general, yet will not automatically reconcile culture hierarchy, equivocal osteomyelitis, perfusion uncertainty, offloading logistics, payer logic, and wound documentation at the same time. The difficulty lives in holding all of those open at once, which is exactly the judgment a single summary skips.</w:t>
            </w:r>
          </w:p>
        </w:tc>
      </w:tr>
    </w:tbl>
    <w:p>
      <w:pPr>
        <w:spacing w:before="0" w:after="60" w:line="200" w:lineRule="auto"/>
      </w:pPr>
    </w:p>
    <w:p/>
    <w:p>
      <w:pPr>
        <w:spacing w:before="280" w:after="20" w:line="250" w:lineRule="auto"/>
      </w:pPr>
      <w:r>
        <w:rPr>
          <w:rFonts w:ascii="Arial" w:hAnsi="Arial"/>
          <w:b/>
          <w:color w:val="1F4D78"/>
          <w:sz w:val="24"/>
        </w:rPr>
        <w:t>4.</w:t>
      </w:r>
    </w:p>
    <w:p>
      <w:pPr>
        <w:spacing w:before="60" w:after="60" w:line="250" w:lineRule="auto"/>
      </w:pPr>
      <w:r>
        <w:rPr>
          <w:rFonts w:ascii="Arial" w:hAnsi="Arial"/>
          <w:b/>
          <w:color w:val="1F4D78"/>
          <w:sz w:val="22"/>
        </w:rPr>
        <w:t>Human</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6F8FA"/>
            <w:tcBorders>
              <w:top w:val="single" w:sz="6" w:space="0" w:color="D0D7DE"/>
              <w:right w:val="single" w:sz="6" w:space="0" w:color="D0D7DE"/>
              <w:bottom w:val="single" w:sz="6" w:space="0" w:color="D0D7DE"/>
              <w:left w:val="single" w:sz="14" w:space="0" w:color="1F4D78"/>
            </w:tcBorders>
          </w:tcPr>
          <w:p>
            <w:pPr>
              <w:spacing w:before="0" w:after="20" w:line="232" w:lineRule="auto"/>
            </w:pPr>
            <w:r>
              <w:rPr>
                <w:rFonts w:ascii="Courier New" w:hAnsi="Courier New"/>
                <w:color w:val="111827"/>
                <w:sz w:val="17"/>
              </w:rPr>
              <w:t>The independent review agrees. We are ready. This needs to be comprehensive, complex, chaotic, and confusing. Many moving parts: personnel, departments, trainees, attendings, students, staff, payers, and family.</w:t>
            </w:r>
          </w:p>
        </w:tc>
      </w:tr>
    </w:tbl>
    <w:p>
      <w:pPr>
        <w:spacing w:before="0" w:after="60" w:line="200" w:lineRule="auto"/>
      </w:pPr>
    </w:p>
    <w:p/>
    <w:p>
      <w:pPr>
        <w:spacing w:before="60" w:after="60" w:line="250" w:lineRule="auto"/>
      </w:pPr>
      <w:r>
        <w:rPr>
          <w:rFonts w:ascii="Arial" w:hAnsi="Arial"/>
          <w:b/>
          <w:color w:val="8A5A44"/>
          <w:sz w:val="22"/>
        </w:rPr>
        <w:t>Assistant</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BF7F0"/>
            <w:tcBorders>
              <w:top w:val="single" w:sz="6" w:space="0" w:color="E4D8C8"/>
              <w:right w:val="single" w:sz="6" w:space="0" w:color="E4D8C8"/>
              <w:bottom w:val="single" w:sz="6" w:space="0" w:color="E4D8C8"/>
              <w:left w:val="single" w:sz="14" w:space="0" w:color="8A5A44"/>
            </w:tcBorders>
          </w:tcPr>
          <w:p>
            <w:pPr>
              <w:spacing w:before="0" w:after="20" w:line="232" w:lineRule="auto"/>
            </w:pPr>
            <w:r>
              <w:rPr>
                <w:rFonts w:ascii="Courier New" w:hAnsi="Courier New"/>
                <w:color w:val="111827"/>
                <w:sz w:val="17"/>
              </w:rPr>
              <w:t>I would center the world on a medically improving but operationally unsafe admission. That single tension generates most of the workflows.</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Clinical center:</w:t>
            </w:r>
          </w:p>
          <w:p>
            <w:pPr>
              <w:spacing w:before="0" w:after="20" w:line="232" w:lineRule="auto"/>
            </w:pPr>
            <w:r>
              <w:rPr>
                <w:rFonts w:ascii="Courier New" w:hAnsi="Courier New"/>
                <w:color w:val="111827"/>
                <w:sz w:val="17"/>
              </w:rPr>
              <w:t>Limb-threatening diabetic foot infection in an older adult with neuropathy, kidney disease, peripheral arterial disease, mobility limits, and caregiver constraints.</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System center:</w:t>
            </w:r>
          </w:p>
          <w:p>
            <w:pPr>
              <w:spacing w:before="0" w:after="20" w:line="232" w:lineRule="auto"/>
            </w:pPr>
            <w:r>
              <w:rPr>
                <w:rFonts w:ascii="Courier New" w:hAnsi="Courier New"/>
                <w:color w:val="111827"/>
                <w:sz w:val="17"/>
              </w:rPr>
              <w:t>Hospital medicine is trying to close discharge. Podiatry, vascular surgery, infectious disease, pharmacy, case management, physical therapy, occupational therapy, wound care, nursing, health information management, documentation integrity, and a Medicare Advantage payer all create plausible but conflicting pressure.</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Where answers tend to fail:</w:t>
            </w:r>
          </w:p>
          <w:p>
            <w:pPr>
              <w:spacing w:before="0" w:after="20" w:line="232" w:lineRule="auto"/>
            </w:pPr>
            <w:r>
              <w:rPr>
                <w:rFonts w:ascii="Courier New" w:hAnsi="Courier New"/>
                <w:color w:val="111827"/>
                <w:sz w:val="17"/>
              </w:rPr>
              <w:t>It is easy to summarize this admission. The harder work is to resist over-closing uncertainty, to refuse to ratify an authoritative-looking external document, to avoid importing an unsupported diagnosis under pressure, to separate medical stability from discharge readiness, and to keep track of which source outranks which.</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Guardrail posture:</w:t>
            </w:r>
          </w:p>
          <w:p>
            <w:pPr>
              <w:spacing w:before="0" w:after="20" w:line="232" w:lineRule="auto"/>
            </w:pPr>
            <w:r>
              <w:rPr>
                <w:rFonts w:ascii="Courier New" w:hAnsi="Courier New"/>
                <w:color w:val="111827"/>
                <w:sz w:val="17"/>
              </w:rPr>
              <w:t>The world files later provide raw clinical material. No discharge summary pre-answers all the traps. Each task gets its own forced decision and its own task-level trap.</w:t>
            </w:r>
          </w:p>
        </w:tc>
      </w:tr>
    </w:tbl>
    <w:p>
      <w:pPr>
        <w:spacing w:before="0" w:after="60" w:line="200" w:lineRule="auto"/>
      </w:pPr>
    </w:p>
    <w:p/>
    <w:p>
      <w:pPr>
        <w:spacing w:before="280" w:after="20" w:line="250" w:lineRule="auto"/>
      </w:pPr>
      <w:r>
        <w:rPr>
          <w:rFonts w:ascii="Arial" w:hAnsi="Arial"/>
          <w:b/>
          <w:color w:val="1F4D78"/>
          <w:sz w:val="24"/>
        </w:rPr>
        <w:t>5.</w:t>
      </w:r>
    </w:p>
    <w:p>
      <w:pPr>
        <w:spacing w:before="60" w:after="60" w:line="250" w:lineRule="auto"/>
      </w:pPr>
      <w:r>
        <w:rPr>
          <w:rFonts w:ascii="Arial" w:hAnsi="Arial"/>
          <w:b/>
          <w:color w:val="1F4D78"/>
          <w:sz w:val="22"/>
        </w:rPr>
        <w:t>Human</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6F8FA"/>
            <w:tcBorders>
              <w:top w:val="single" w:sz="6" w:space="0" w:color="D0D7DE"/>
              <w:right w:val="single" w:sz="6" w:space="0" w:color="D0D7DE"/>
              <w:bottom w:val="single" w:sz="6" w:space="0" w:color="D0D7DE"/>
              <w:left w:val="single" w:sz="14" w:space="0" w:color="1F4D78"/>
            </w:tcBorders>
          </w:tcPr>
          <w:p>
            <w:pPr>
              <w:spacing w:before="0" w:after="20" w:line="232" w:lineRule="auto"/>
            </w:pPr>
            <w:r>
              <w:rPr>
                <w:rFonts w:ascii="Courier New" w:hAnsi="Courier New"/>
                <w:color w:val="111827"/>
                <w:sz w:val="17"/>
              </w:rPr>
              <w:t>Before we go further, what did we get wrong in the last world that we must not repeat here? Be specific.</w:t>
            </w:r>
          </w:p>
        </w:tc>
      </w:tr>
    </w:tbl>
    <w:p>
      <w:pPr>
        <w:spacing w:before="0" w:after="60" w:line="200" w:lineRule="auto"/>
      </w:pPr>
    </w:p>
    <w:p/>
    <w:p>
      <w:pPr>
        <w:spacing w:before="60" w:after="60" w:line="250" w:lineRule="auto"/>
      </w:pPr>
      <w:r>
        <w:rPr>
          <w:rFonts w:ascii="Arial" w:hAnsi="Arial"/>
          <w:b/>
          <w:color w:val="8A5A44"/>
          <w:sz w:val="22"/>
        </w:rPr>
        <w:t>Assistant</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BF7F0"/>
            <w:tcBorders>
              <w:top w:val="single" w:sz="6" w:space="0" w:color="E4D8C8"/>
              <w:right w:val="single" w:sz="6" w:space="0" w:color="E4D8C8"/>
              <w:bottom w:val="single" w:sz="6" w:space="0" w:color="E4D8C8"/>
              <w:left w:val="single" w:sz="14" w:space="0" w:color="8A5A44"/>
            </w:tcBorders>
          </w:tcPr>
          <w:p>
            <w:pPr>
              <w:spacing w:before="0" w:after="20" w:line="232" w:lineRule="auto"/>
            </w:pPr>
            <w:r>
              <w:rPr>
                <w:rFonts w:ascii="Courier New" w:hAnsi="Courier New"/>
                <w:color w:val="111827"/>
                <w:sz w:val="17"/>
              </w:rPr>
              <w:t>The lessons worth carrying, stated as rules for this build:</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1. Fairness is judged on what the built files actually say, not on what the plan intends. We review the finished artifact, not the outline.</w:t>
            </w:r>
          </w:p>
          <w:p>
            <w:pPr>
              <w:spacing w:before="0" w:after="20" w:line="232" w:lineRule="auto"/>
            </w:pPr>
            <w:r>
              <w:rPr>
                <w:rFonts w:ascii="Courier New" w:hAnsi="Courier New"/>
                <w:color w:val="111827"/>
                <w:sz w:val="17"/>
              </w:rPr>
              <w:t>2. No shared file performs the task's own synthesis. If a task is to weigh sources or sequence a restart, no note in the chart should already do that weighing.</w:t>
            </w:r>
          </w:p>
          <w:p>
            <w:pPr>
              <w:spacing w:before="0" w:after="20" w:line="232" w:lineRule="auto"/>
            </w:pPr>
            <w:r>
              <w:rPr>
                <w:rFonts w:ascii="Courier New" w:hAnsi="Courier New"/>
                <w:color w:val="111827"/>
                <w:sz w:val="17"/>
              </w:rPr>
              <w:t>3. Keep internal and source register out of every reviewer-facing file. The reviewer should read clinical documents, not design language.</w:t>
            </w:r>
          </w:p>
          <w:p>
            <w:pPr>
              <w:spacing w:before="0" w:after="20" w:line="232" w:lineRule="auto"/>
            </w:pPr>
            <w:r>
              <w:rPr>
                <w:rFonts w:ascii="Courier New" w:hAnsi="Courier New"/>
                <w:color w:val="111827"/>
                <w:sz w:val="17"/>
              </w:rPr>
              <w:t>4. Same-author started drafts are unfair unless they carry a true placeholder or an explicit correct-the-errors instruction. External wrong-by-genre documents are fair rebuttal surfaces.</w:t>
            </w:r>
          </w:p>
          <w:p>
            <w:pPr>
              <w:spacing w:before="0" w:after="20" w:line="232" w:lineRule="auto"/>
            </w:pPr>
            <w:r>
              <w:rPr>
                <w:rFonts w:ascii="Courier New" w:hAnsi="Courier New"/>
                <w:color w:val="111827"/>
                <w:sz w:val="17"/>
              </w:rPr>
              <w:t>5. Ambiguity should be made of specific instances, not a vague label. If a medication history is unclear, the chart should show the specific confusing entries and leave the conclusion open.</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I will hold the whole design against these.</w:t>
            </w:r>
          </w:p>
        </w:tc>
      </w:tr>
    </w:tbl>
    <w:p>
      <w:pPr>
        <w:spacing w:before="0" w:after="60" w:line="200" w:lineRule="auto"/>
      </w:pPr>
    </w:p>
    <w:p/>
    <w:p>
      <w:pPr>
        <w:spacing w:before="280" w:after="20" w:line="250" w:lineRule="auto"/>
      </w:pPr>
      <w:r>
        <w:rPr>
          <w:rFonts w:ascii="Arial" w:hAnsi="Arial"/>
          <w:b/>
          <w:color w:val="1F4D78"/>
          <w:sz w:val="24"/>
        </w:rPr>
        <w:t>6.</w:t>
      </w:r>
    </w:p>
    <w:p>
      <w:pPr>
        <w:spacing w:before="60" w:after="60" w:line="250" w:lineRule="auto"/>
      </w:pPr>
      <w:r>
        <w:rPr>
          <w:rFonts w:ascii="Arial" w:hAnsi="Arial"/>
          <w:b/>
          <w:color w:val="1F4D78"/>
          <w:sz w:val="22"/>
        </w:rPr>
        <w:t>Human</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6F8FA"/>
            <w:tcBorders>
              <w:top w:val="single" w:sz="6" w:space="0" w:color="D0D7DE"/>
              <w:right w:val="single" w:sz="6" w:space="0" w:color="D0D7DE"/>
              <w:bottom w:val="single" w:sz="6" w:space="0" w:color="D0D7DE"/>
              <w:left w:val="single" w:sz="14" w:space="0" w:color="1F4D78"/>
            </w:tcBorders>
          </w:tcPr>
          <w:p>
            <w:pPr>
              <w:spacing w:before="0" w:after="20" w:line="232" w:lineRule="auto"/>
            </w:pPr>
            <w:r>
              <w:rPr>
                <w:rFonts w:ascii="Courier New" w:hAnsi="Courier New"/>
                <w:color w:val="111827"/>
                <w:sz w:val="17"/>
              </w:rPr>
              <w:t>Choose a name from the proposal and explain it so I can audit it. Justify the patch and apply it.</w:t>
            </w:r>
          </w:p>
        </w:tc>
      </w:tr>
    </w:tbl>
    <w:p>
      <w:pPr>
        <w:spacing w:before="0" w:after="60" w:line="200" w:lineRule="auto"/>
      </w:pPr>
    </w:p>
    <w:p/>
    <w:p>
      <w:pPr>
        <w:spacing w:before="60" w:after="60" w:line="250" w:lineRule="auto"/>
      </w:pPr>
      <w:r>
        <w:rPr>
          <w:rFonts w:ascii="Arial" w:hAnsi="Arial"/>
          <w:b/>
          <w:color w:val="8A5A44"/>
          <w:sz w:val="22"/>
        </w:rPr>
        <w:t>Assistant</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BF7F0"/>
            <w:tcBorders>
              <w:top w:val="single" w:sz="6" w:space="0" w:color="E4D8C8"/>
              <w:right w:val="single" w:sz="6" w:space="0" w:color="E4D8C8"/>
              <w:bottom w:val="single" w:sz="6" w:space="0" w:color="E4D8C8"/>
              <w:left w:val="single" w:sz="14" w:space="0" w:color="8A5A44"/>
            </w:tcBorders>
          </w:tcPr>
          <w:p>
            <w:pPr>
              <w:spacing w:before="0" w:after="20" w:line="232" w:lineRule="auto"/>
            </w:pPr>
            <w:r>
              <w:rPr>
                <w:rFonts w:ascii="Courier New" w:hAnsi="Courier New"/>
                <w:color w:val="111827"/>
                <w:sz w:val="17"/>
              </w:rPr>
              <w:t>The clean choice is Ondina Vasquell.</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Why it works:</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1. Distinctive enough to avoid collision with the prior world's patient.</w:t>
            </w:r>
          </w:p>
          <w:p>
            <w:pPr>
              <w:spacing w:before="0" w:after="20" w:line="232" w:lineRule="auto"/>
            </w:pPr>
            <w:r>
              <w:rPr>
                <w:rFonts w:ascii="Courier New" w:hAnsi="Courier New"/>
                <w:color w:val="111827"/>
                <w:sz w:val="17"/>
              </w:rPr>
              <w:t>2. Fits a Spanish-preferred language texture without making ethnicity the trap.</w:t>
            </w:r>
          </w:p>
          <w:p>
            <w:pPr>
              <w:spacing w:before="0" w:after="20" w:line="232" w:lineRule="auto"/>
            </w:pPr>
            <w:r>
              <w:rPr>
                <w:rFonts w:ascii="Courier New" w:hAnsi="Courier New"/>
                <w:color w:val="111827"/>
                <w:sz w:val="17"/>
              </w:rPr>
              <w:t>3. Fictional and stable, with no famous-patient or public-figure resonance.</w:t>
            </w:r>
          </w:p>
          <w:p>
            <w:pPr>
              <w:spacing w:before="0" w:after="20" w:line="232" w:lineRule="auto"/>
            </w:pPr>
            <w:r>
              <w:rPr>
                <w:rFonts w:ascii="Courier New" w:hAnsi="Courier New"/>
                <w:color w:val="111827"/>
                <w:sz w:val="17"/>
              </w:rPr>
              <w:t>4. Easy to keep spelled one way across many files.</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Audit caveat: pick one spelling and never let it drift. Ondine, Ordina, and Ondina are easy to confuse. The locked spelling should be Ondina Vasquell.</w:t>
            </w:r>
          </w:p>
        </w:tc>
      </w:tr>
    </w:tbl>
    <w:p>
      <w:pPr>
        <w:spacing w:before="0" w:after="60" w:line="200" w:lineRule="auto"/>
      </w:pPr>
    </w:p>
    <w:p/>
    <w:p>
      <w:pPr>
        <w:spacing w:before="280" w:after="20" w:line="250" w:lineRule="auto"/>
      </w:pPr>
      <w:r>
        <w:rPr>
          <w:rFonts w:ascii="Arial" w:hAnsi="Arial"/>
          <w:b/>
          <w:color w:val="1F4D78"/>
          <w:sz w:val="24"/>
        </w:rPr>
        <w:t>7.</w:t>
      </w:r>
    </w:p>
    <w:p>
      <w:pPr>
        <w:spacing w:before="60" w:after="60" w:line="250" w:lineRule="auto"/>
      </w:pPr>
      <w:r>
        <w:rPr>
          <w:rFonts w:ascii="Arial" w:hAnsi="Arial"/>
          <w:b/>
          <w:color w:val="1F4D78"/>
          <w:sz w:val="22"/>
        </w:rPr>
        <w:t>Human</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6F8FA"/>
            <w:tcBorders>
              <w:top w:val="single" w:sz="6" w:space="0" w:color="D0D7DE"/>
              <w:right w:val="single" w:sz="6" w:space="0" w:color="D0D7DE"/>
              <w:bottom w:val="single" w:sz="6" w:space="0" w:color="D0D7DE"/>
              <w:left w:val="single" w:sz="14" w:space="0" w:color="1F4D78"/>
            </w:tcBorders>
          </w:tcPr>
          <w:p>
            <w:pPr>
              <w:spacing w:before="0" w:after="20" w:line="232" w:lineRule="auto"/>
            </w:pPr>
            <w:r>
              <w:rPr>
                <w:rFonts w:ascii="Courier New" w:hAnsi="Courier New"/>
                <w:color w:val="111827"/>
                <w:sz w:val="17"/>
              </w:rPr>
              <w:t>Ondina Vasquell.</w:t>
            </w:r>
          </w:p>
        </w:tc>
      </w:tr>
    </w:tbl>
    <w:p>
      <w:pPr>
        <w:spacing w:before="0" w:after="60" w:line="200" w:lineRule="auto"/>
      </w:pPr>
    </w:p>
    <w:p/>
    <w:p>
      <w:pPr>
        <w:spacing w:before="60" w:after="60" w:line="250" w:lineRule="auto"/>
      </w:pPr>
      <w:r>
        <w:rPr>
          <w:rFonts w:ascii="Arial" w:hAnsi="Arial"/>
          <w:b/>
          <w:color w:val="8A5A44"/>
          <w:sz w:val="22"/>
        </w:rPr>
        <w:t>Assistant</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BF7F0"/>
            <w:tcBorders>
              <w:top w:val="single" w:sz="6" w:space="0" w:color="E4D8C8"/>
              <w:right w:val="single" w:sz="6" w:space="0" w:color="E4D8C8"/>
              <w:bottom w:val="single" w:sz="6" w:space="0" w:color="E4D8C8"/>
              <w:left w:val="single" w:sz="14" w:space="0" w:color="8A5A44"/>
            </w:tcBorders>
          </w:tcPr>
          <w:p>
            <w:pPr>
              <w:spacing w:before="0" w:after="20" w:line="232" w:lineRule="auto"/>
            </w:pPr>
            <w:r>
              <w:rPr>
                <w:rFonts w:ascii="Courier New" w:hAnsi="Courier New"/>
                <w:color w:val="111827"/>
                <w:sz w:val="17"/>
              </w:rPr>
              <w:t>Locked.</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Patient identity: Ondina Vasquell. That exact spelling goes everywhere in the Brainstorm and later in the substrate.</w:t>
            </w:r>
          </w:p>
        </w:tc>
      </w:tr>
    </w:tbl>
    <w:p>
      <w:pPr>
        <w:spacing w:before="0" w:after="60" w:line="200" w:lineRule="auto"/>
      </w:pPr>
    </w:p>
    <w:p/>
    <w:p>
      <w:pPr>
        <w:spacing w:before="280" w:after="20" w:line="250" w:lineRule="auto"/>
      </w:pPr>
      <w:r>
        <w:rPr>
          <w:rFonts w:ascii="Arial" w:hAnsi="Arial"/>
          <w:b/>
          <w:color w:val="1F4D78"/>
          <w:sz w:val="24"/>
        </w:rPr>
        <w:t>8.</w:t>
      </w:r>
    </w:p>
    <w:p>
      <w:pPr>
        <w:spacing w:before="60" w:after="60" w:line="250" w:lineRule="auto"/>
      </w:pPr>
      <w:r>
        <w:rPr>
          <w:rFonts w:ascii="Arial" w:hAnsi="Arial"/>
          <w:b/>
          <w:color w:val="1F4D78"/>
          <w:sz w:val="22"/>
        </w:rPr>
        <w:t>Human</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6F8FA"/>
            <w:tcBorders>
              <w:top w:val="single" w:sz="6" w:space="0" w:color="D0D7DE"/>
              <w:right w:val="single" w:sz="6" w:space="0" w:color="D0D7DE"/>
              <w:bottom w:val="single" w:sz="6" w:space="0" w:color="D0D7DE"/>
              <w:left w:val="single" w:sz="14" w:space="0" w:color="1F4D78"/>
            </w:tcBorders>
          </w:tcPr>
          <w:p>
            <w:pPr>
              <w:spacing w:before="0" w:after="20" w:line="232" w:lineRule="auto"/>
            </w:pPr>
            <w:r>
              <w:rPr>
                <w:rFonts w:ascii="Courier New" w:hAnsi="Courier New"/>
                <w:color w:val="111827"/>
                <w:sz w:val="17"/>
              </w:rPr>
              <w:t>Good catch on the spelling. I have seen names drift across a file set before and it is a quiet failure. Lock it and add a scan for variants before any submission.</w:t>
            </w:r>
          </w:p>
        </w:tc>
      </w:tr>
    </w:tbl>
    <w:p>
      <w:pPr>
        <w:spacing w:before="0" w:after="60" w:line="200" w:lineRule="auto"/>
      </w:pPr>
    </w:p>
    <w:p/>
    <w:p>
      <w:pPr>
        <w:spacing w:before="60" w:after="60" w:line="250" w:lineRule="auto"/>
      </w:pPr>
      <w:r>
        <w:rPr>
          <w:rFonts w:ascii="Arial" w:hAnsi="Arial"/>
          <w:b/>
          <w:color w:val="8A5A44"/>
          <w:sz w:val="22"/>
        </w:rPr>
        <w:t>Assistant</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BF7F0"/>
            <w:tcBorders>
              <w:top w:val="single" w:sz="6" w:space="0" w:color="E4D8C8"/>
              <w:right w:val="single" w:sz="6" w:space="0" w:color="E4D8C8"/>
              <w:bottom w:val="single" w:sz="6" w:space="0" w:color="E4D8C8"/>
              <w:left w:val="single" w:sz="14" w:space="0" w:color="8A5A44"/>
            </w:tcBorders>
          </w:tcPr>
          <w:p>
            <w:pPr>
              <w:spacing w:before="0" w:after="20" w:line="232" w:lineRule="auto"/>
            </w:pPr>
            <w:r>
              <w:rPr>
                <w:rFonts w:ascii="Courier New" w:hAnsi="Courier New"/>
                <w:color w:val="111827"/>
                <w:sz w:val="17"/>
              </w:rPr>
              <w:t>Agreed and recorded as a gate.</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Identity scan: before any submission, scan every file for name variants and for the single MRN, and fail the set if more than one spelling or identifier appears. The same scan should confirm the patient identity is present and consistent in every file rather than assumed.</w:t>
            </w:r>
          </w:p>
        </w:tc>
      </w:tr>
    </w:tbl>
    <w:p>
      <w:pPr>
        <w:spacing w:before="0" w:after="60" w:line="200" w:lineRule="auto"/>
      </w:pPr>
    </w:p>
    <w:p/>
    <w:p>
      <w:pPr>
        <w:spacing w:before="280" w:after="20" w:line="250" w:lineRule="auto"/>
      </w:pPr>
      <w:r>
        <w:rPr>
          <w:rFonts w:ascii="Arial" w:hAnsi="Arial"/>
          <w:b/>
          <w:color w:val="1F4D78"/>
          <w:sz w:val="24"/>
        </w:rPr>
        <w:t>9.</w:t>
      </w:r>
    </w:p>
    <w:p>
      <w:pPr>
        <w:spacing w:before="60" w:after="60" w:line="250" w:lineRule="auto"/>
      </w:pPr>
      <w:r>
        <w:rPr>
          <w:rFonts w:ascii="Arial" w:hAnsi="Arial"/>
          <w:b/>
          <w:color w:val="1F4D78"/>
          <w:sz w:val="22"/>
        </w:rPr>
        <w:t>Human</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6F8FA"/>
            <w:tcBorders>
              <w:top w:val="single" w:sz="6" w:space="0" w:color="D0D7DE"/>
              <w:right w:val="single" w:sz="6" w:space="0" w:color="D0D7DE"/>
              <w:bottom w:val="single" w:sz="6" w:space="0" w:color="D0D7DE"/>
              <w:left w:val="single" w:sz="14" w:space="0" w:color="1F4D78"/>
            </w:tcBorders>
          </w:tcPr>
          <w:p>
            <w:pPr>
              <w:spacing w:before="0" w:after="20" w:line="232" w:lineRule="auto"/>
            </w:pPr>
            <w:r>
              <w:rPr>
                <w:rFonts w:ascii="Courier New" w:hAnsi="Courier New"/>
                <w:color w:val="111827"/>
                <w:sz w:val="17"/>
              </w:rPr>
              <w:t>Answer the blocking decisions. Snapshot should sit where she is medically improving but unsafe. Payer denial should be central. Osteomyelitis should remain equivocal.</w:t>
            </w:r>
          </w:p>
        </w:tc>
      </w:tr>
    </w:tbl>
    <w:p>
      <w:pPr>
        <w:spacing w:before="0" w:after="60" w:line="200" w:lineRule="auto"/>
      </w:pPr>
    </w:p>
    <w:p/>
    <w:p>
      <w:pPr>
        <w:spacing w:before="60" w:after="60" w:line="250" w:lineRule="auto"/>
      </w:pPr>
      <w:r>
        <w:rPr>
          <w:rFonts w:ascii="Arial" w:hAnsi="Arial"/>
          <w:b/>
          <w:color w:val="8A5A44"/>
          <w:sz w:val="22"/>
        </w:rPr>
        <w:t>Assistant</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BF7F0"/>
            <w:tcBorders>
              <w:top w:val="single" w:sz="6" w:space="0" w:color="E4D8C8"/>
              <w:right w:val="single" w:sz="6" w:space="0" w:color="E4D8C8"/>
              <w:bottom w:val="single" w:sz="6" w:space="0" w:color="E4D8C8"/>
              <w:left w:val="single" w:sz="14" w:space="0" w:color="8A5A44"/>
            </w:tcBorders>
          </w:tcPr>
          <w:p>
            <w:pPr>
              <w:spacing w:before="0" w:after="20" w:line="232" w:lineRule="auto"/>
            </w:pPr>
            <w:r>
              <w:rPr>
                <w:rFonts w:ascii="Courier New" w:hAnsi="Courier New"/>
                <w:color w:val="111827"/>
                <w:sz w:val="17"/>
              </w:rPr>
              <w:t>Recommended decisions with the reason for each:</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1. Snapshot: May 21, 2026 at 18:00, hospital day 6. This lets the chart show improvement in fever, white count, glucose, and kidney function while leaving disposition, wound care, offloading, vascular adequacy, payer authorization, and family training unresolved.</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2. Task anchor pattern: independent post-snapshot branches, not one linear future. Anchors can sit the same evening, the next day, several days after discharge, and a few weeks out. This prevents future-date contradictions and gives each task a clean window.</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3. Workflow posture: clinically exact workflow names, not broad summary categories. The variety itself is part of the difficulty. A payer appeal, a coding attestation, a quality abstraction, a vascular referral, and a pharmacy exception do not test the same skill.</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4. Payer center: a Medicare Advantage skilled-nursing denial. Home health is administratively easier but clinically unsafe here, which creates a fair surface to either accept or refute.</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5. Osteomyelitis: keep the imaging equivocal, no exposed bone, no bone culture, no committed treating diagnosis. The correct behavior is restraint or clarification, not confident coding.</w:t>
            </w:r>
          </w:p>
        </w:tc>
      </w:tr>
    </w:tbl>
    <w:p>
      <w:pPr>
        <w:spacing w:before="0" w:after="60" w:line="200" w:lineRule="auto"/>
      </w:pPr>
    </w:p>
    <w:p/>
    <w:p>
      <w:pPr>
        <w:spacing w:before="280" w:after="20" w:line="250" w:lineRule="auto"/>
      </w:pPr>
      <w:r>
        <w:rPr>
          <w:rFonts w:ascii="Arial" w:hAnsi="Arial"/>
          <w:b/>
          <w:color w:val="1F4D78"/>
          <w:sz w:val="24"/>
        </w:rPr>
        <w:t>10.</w:t>
      </w:r>
    </w:p>
    <w:p>
      <w:pPr>
        <w:spacing w:before="60" w:after="60" w:line="250" w:lineRule="auto"/>
      </w:pPr>
      <w:r>
        <w:rPr>
          <w:rFonts w:ascii="Arial" w:hAnsi="Arial"/>
          <w:b/>
          <w:color w:val="1F4D78"/>
          <w:sz w:val="22"/>
        </w:rPr>
        <w:t>Human</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6F8FA"/>
            <w:tcBorders>
              <w:top w:val="single" w:sz="6" w:space="0" w:color="D0D7DE"/>
              <w:right w:val="single" w:sz="6" w:space="0" w:color="D0D7DE"/>
              <w:bottom w:val="single" w:sz="6" w:space="0" w:color="D0D7DE"/>
              <w:left w:val="single" w:sz="14" w:space="0" w:color="1F4D78"/>
            </w:tcBorders>
          </w:tcPr>
          <w:p>
            <w:pPr>
              <w:spacing w:before="0" w:after="20" w:line="232" w:lineRule="auto"/>
            </w:pPr>
            <w:r>
              <w:rPr>
                <w:rFonts w:ascii="Courier New" w:hAnsi="Courier New"/>
                <w:color w:val="111827"/>
                <w:sz w:val="17"/>
              </w:rPr>
              <w:t>Make sure we declare the world type explicitly in the proposal. Last time it was almost missed and that is a formal item.</w:t>
            </w:r>
          </w:p>
        </w:tc>
      </w:tr>
    </w:tbl>
    <w:p>
      <w:pPr>
        <w:spacing w:before="0" w:after="60" w:line="200" w:lineRule="auto"/>
      </w:pPr>
    </w:p>
    <w:p/>
    <w:p>
      <w:pPr>
        <w:spacing w:before="60" w:after="60" w:line="250" w:lineRule="auto"/>
      </w:pPr>
      <w:r>
        <w:rPr>
          <w:rFonts w:ascii="Arial" w:hAnsi="Arial"/>
          <w:b/>
          <w:color w:val="8A5A44"/>
          <w:sz w:val="22"/>
        </w:rPr>
        <w:t>Assistant</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BF7F0"/>
            <w:tcBorders>
              <w:top w:val="single" w:sz="6" w:space="0" w:color="E4D8C8"/>
              <w:right w:val="single" w:sz="6" w:space="0" w:color="E4D8C8"/>
              <w:bottom w:val="single" w:sz="6" w:space="0" w:color="E4D8C8"/>
              <w:left w:val="single" w:sz="14" w:space="0" w:color="8A5A44"/>
            </w:tcBorders>
          </w:tcPr>
          <w:p>
            <w:pPr>
              <w:spacing w:before="0" w:after="20" w:line="232" w:lineRule="auto"/>
            </w:pPr>
            <w:r>
              <w:rPr>
                <w:rFonts w:ascii="Courier New" w:hAnsi="Courier New"/>
                <w:color w:val="111827"/>
                <w:sz w:val="17"/>
              </w:rPr>
              <w:t>Yes. The world type declaration goes in the first line of the world setup, not buried later.</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Declaration: this is a typical clinical world, a hospital medicine admission and the physician-facing documentation work it generates. Stating it up front keeps the proposal aligned with the required structure and prevents the omission we nearly made before.</w:t>
            </w:r>
          </w:p>
        </w:tc>
      </w:tr>
    </w:tbl>
    <w:p>
      <w:pPr>
        <w:spacing w:before="0" w:after="60" w:line="200" w:lineRule="auto"/>
      </w:pPr>
    </w:p>
    <w:p/>
    <w:p>
      <w:pPr>
        <w:spacing w:before="280" w:after="20" w:line="250" w:lineRule="auto"/>
      </w:pPr>
      <w:r>
        <w:rPr>
          <w:rFonts w:ascii="Arial" w:hAnsi="Arial"/>
          <w:b/>
          <w:color w:val="1F4D78"/>
          <w:sz w:val="24"/>
        </w:rPr>
        <w:t>11.</w:t>
      </w:r>
    </w:p>
    <w:p>
      <w:pPr>
        <w:spacing w:before="60" w:after="60" w:line="250" w:lineRule="auto"/>
      </w:pPr>
      <w:r>
        <w:rPr>
          <w:rFonts w:ascii="Arial" w:hAnsi="Arial"/>
          <w:b/>
          <w:color w:val="1F4D78"/>
          <w:sz w:val="22"/>
        </w:rPr>
        <w:t>Human</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6F8FA"/>
            <w:tcBorders>
              <w:top w:val="single" w:sz="6" w:space="0" w:color="D0D7DE"/>
              <w:right w:val="single" w:sz="6" w:space="0" w:color="D0D7DE"/>
              <w:bottom w:val="single" w:sz="6" w:space="0" w:color="D0D7DE"/>
              <w:left w:val="single" w:sz="14" w:space="0" w:color="1F4D78"/>
            </w:tcBorders>
          </w:tcPr>
          <w:p>
            <w:pPr>
              <w:spacing w:before="0" w:after="20" w:line="232" w:lineRule="auto"/>
            </w:pPr>
            <w:r>
              <w:rPr>
                <w:rFonts w:ascii="Courier New" w:hAnsi="Courier New"/>
                <w:color w:val="111827"/>
                <w:sz w:val="17"/>
              </w:rPr>
              <w:t>Draft the proposal frame. Narrow the best case using the recent guardrails, the prior-world logs, the source of truth, and the range of variables we can apply.</w:t>
            </w:r>
          </w:p>
        </w:tc>
      </w:tr>
    </w:tbl>
    <w:p>
      <w:pPr>
        <w:spacing w:before="0" w:after="60" w:line="200" w:lineRule="auto"/>
      </w:pPr>
    </w:p>
    <w:p/>
    <w:p>
      <w:pPr>
        <w:spacing w:before="60" w:after="60" w:line="250" w:lineRule="auto"/>
      </w:pPr>
      <w:r>
        <w:rPr>
          <w:rFonts w:ascii="Arial" w:hAnsi="Arial"/>
          <w:b/>
          <w:color w:val="8A5A44"/>
          <w:sz w:val="22"/>
        </w:rPr>
        <w:t>Assistant</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BF7F0"/>
            <w:tcBorders>
              <w:top w:val="single" w:sz="6" w:space="0" w:color="E4D8C8"/>
              <w:right w:val="single" w:sz="6" w:space="0" w:color="E4D8C8"/>
              <w:bottom w:val="single" w:sz="6" w:space="0" w:color="E4D8C8"/>
              <w:left w:val="single" w:sz="14" w:space="0" w:color="8A5A44"/>
            </w:tcBorders>
          </w:tcPr>
          <w:p>
            <w:pPr>
              <w:spacing w:before="0" w:after="20" w:line="232" w:lineRule="auto"/>
            </w:pPr>
            <w:r>
              <w:rPr>
                <w:rFonts w:ascii="Courier New" w:hAnsi="Courier New"/>
                <w:color w:val="111827"/>
                <w:sz w:val="17"/>
              </w:rPr>
              <w:t>Draft Brainstorm frame:</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World type:</w:t>
            </w:r>
          </w:p>
          <w:p>
            <w:pPr>
              <w:spacing w:before="0" w:after="20" w:line="232" w:lineRule="auto"/>
            </w:pPr>
            <w:r>
              <w:rPr>
                <w:rFonts w:ascii="Courier New" w:hAnsi="Courier New"/>
                <w:color w:val="111827"/>
                <w:sz w:val="17"/>
              </w:rPr>
              <w:t>A typical clinical world. A hospital medicine admission centered on a complex inpatient stay and the documentation work generated once the patient reaches a medically improved but operationally unsafe point.</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Patient:</w:t>
            </w:r>
          </w:p>
          <w:p>
            <w:pPr>
              <w:spacing w:before="0" w:after="20" w:line="232" w:lineRule="auto"/>
            </w:pPr>
            <w:r>
              <w:rPr>
                <w:rFonts w:ascii="Courier New" w:hAnsi="Courier New"/>
                <w:color w:val="111827"/>
                <w:sz w:val="17"/>
              </w:rPr>
              <w:t>Ondina Vasquell, an older Spanish-preferred woman admitted with a limb-threatening diabetic foot infection. Insulin-treated type 2 diabetes with neuropathy and retinopathy, kidney disease stage 3b with anemia, peripheral arterial disease, heart failure with preserved ejection fraction, hypertension, dyslipidemia, obesity, sleep apnea, osteoarthritis, and limited mobility.</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Core tension:</w:t>
            </w:r>
          </w:p>
          <w:p>
            <w:pPr>
              <w:spacing w:before="0" w:after="20" w:line="232" w:lineRule="auto"/>
            </w:pPr>
            <w:r>
              <w:rPr>
                <w:rFonts w:ascii="Courier New" w:hAnsi="Courier New"/>
                <w:color w:val="111827"/>
                <w:sz w:val="17"/>
              </w:rPr>
              <w:t>She is improving enough that discharge pressure is real, but she is not operationally safe for a simple home plan. The payer wants the lower-intensity pathway. Case management needs a physician appeal. The family wants safety but has limited availability. Specialty services disagree on how much risk remains.</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Frictions:</w:t>
            </w:r>
          </w:p>
          <w:p>
            <w:pPr>
              <w:spacing w:before="0" w:after="20" w:line="232" w:lineRule="auto"/>
            </w:pPr>
            <w:r>
              <w:rPr>
                <w:rFonts w:ascii="Courier New" w:hAnsi="Courier New"/>
                <w:color w:val="111827"/>
                <w:sz w:val="17"/>
              </w:rPr>
              <w:t>Hospital medicine versus the payer medical director. Podiatry versus vascular surgery. Infectious disease and pharmacy against renal dosing and benefit limits. Health information management and documentation integrity against the treating team. Therapy, nursing, the daughter, and case management against discharge logistics.</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Trap classes:</w:t>
            </w:r>
          </w:p>
          <w:p>
            <w:pPr>
              <w:spacing w:before="0" w:after="20" w:line="232" w:lineRule="auto"/>
            </w:pPr>
            <w:r>
              <w:rPr>
                <w:rFonts w:ascii="Courier New" w:hAnsi="Courier New"/>
                <w:color w:val="111827"/>
                <w:sz w:val="17"/>
              </w:rPr>
              <w:t>Renal antibiotic dosing. Equivocal osteomyelitis. Wound classification and present-on-admission status. Perfusion uncertainty. Offloading and equipment readiness. Culture hierarchy. Quality-measure lookback. Social context as load, not as the scored trap.</w:t>
            </w:r>
          </w:p>
        </w:tc>
      </w:tr>
    </w:tbl>
    <w:p>
      <w:pPr>
        <w:spacing w:before="0" w:after="60" w:line="200" w:lineRule="auto"/>
      </w:pPr>
    </w:p>
    <w:p/>
    <w:p>
      <w:pPr>
        <w:spacing w:before="280" w:after="20" w:line="250" w:lineRule="auto"/>
      </w:pPr>
      <w:r>
        <w:rPr>
          <w:rFonts w:ascii="Arial" w:hAnsi="Arial"/>
          <w:b/>
          <w:color w:val="1F4D78"/>
          <w:sz w:val="24"/>
        </w:rPr>
        <w:t>12.</w:t>
      </w:r>
    </w:p>
    <w:p>
      <w:pPr>
        <w:spacing w:before="60" w:after="60" w:line="250" w:lineRule="auto"/>
      </w:pPr>
      <w:r>
        <w:rPr>
          <w:rFonts w:ascii="Arial" w:hAnsi="Arial"/>
          <w:b/>
          <w:color w:val="1F4D78"/>
          <w:sz w:val="22"/>
        </w:rPr>
        <w:t>Human</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6F8FA"/>
            <w:tcBorders>
              <w:top w:val="single" w:sz="6" w:space="0" w:color="D0D7DE"/>
              <w:right w:val="single" w:sz="6" w:space="0" w:color="D0D7DE"/>
              <w:bottom w:val="single" w:sz="6" w:space="0" w:color="D0D7DE"/>
              <w:left w:val="single" w:sz="14" w:space="0" w:color="1F4D78"/>
            </w:tcBorders>
          </w:tcPr>
          <w:p>
            <w:pPr>
              <w:spacing w:before="0" w:after="20" w:line="232" w:lineRule="auto"/>
            </w:pPr>
            <w:r>
              <w:rPr>
                <w:rFonts w:ascii="Courier New" w:hAnsi="Courier New"/>
                <w:color w:val="111827"/>
                <w:sz w:val="17"/>
              </w:rPr>
              <w:t>Make the task plan. Ten tasks, distinct forced slots, a requester role per task, and no repeated-summary monoculture.</w:t>
            </w:r>
          </w:p>
        </w:tc>
      </w:tr>
    </w:tbl>
    <w:p>
      <w:pPr>
        <w:spacing w:before="0" w:after="60" w:line="200" w:lineRule="auto"/>
      </w:pPr>
    </w:p>
    <w:p/>
    <w:p>
      <w:pPr>
        <w:spacing w:before="60" w:after="60" w:line="250" w:lineRule="auto"/>
      </w:pPr>
      <w:r>
        <w:rPr>
          <w:rFonts w:ascii="Arial" w:hAnsi="Arial"/>
          <w:b/>
          <w:color w:val="8A5A44"/>
          <w:sz w:val="22"/>
        </w:rPr>
        <w:t>Assistant</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BF7F0"/>
            <w:tcBorders>
              <w:top w:val="single" w:sz="6" w:space="0" w:color="E4D8C8"/>
              <w:right w:val="single" w:sz="6" w:space="0" w:color="E4D8C8"/>
              <w:bottom w:val="single" w:sz="6" w:space="0" w:color="E4D8C8"/>
              <w:left w:val="single" w:sz="14" w:space="0" w:color="8A5A44"/>
            </w:tcBorders>
          </w:tcPr>
          <w:p>
            <w:pPr>
              <w:spacing w:before="0" w:after="20" w:line="232" w:lineRule="auto"/>
            </w:pPr>
            <w:r>
              <w:rPr>
                <w:rFonts w:ascii="Courier New" w:hAnsi="Courier New"/>
                <w:color w:val="111827"/>
                <w:sz w:val="17"/>
              </w:rPr>
              <w:t>Task slate:</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1. Discharge medication reconciliation safety table. Requester: hospitalist attending. Forced slot: decide antibiotic, renal-dose, and diabetes medication safety. Trap: continuing a contraindicated or unsupported plan.</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2. Physician coding attestation against a preliminary worksheet. Requester: coding lead. Forced slot: accept or reject the osteomyelitis, ulcer family, and severity capture. Trap: ratifying unsupported severity.</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3. Response to a documentation-integrity query. Requester: documentation specialist. Forced slot: state whether the record supports acute osteomyelitis or only suspected infection. Trap: adding a diagnosis under pressure.</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4. Skilled-nursing denial appeal. Requester: hospitalist attending at case management request. Forced slot: prove why home health is unsafe despite improvement. Trap: accepting that stability equals readiness.</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5. Pharmacy benefit rejection response. Requester: infectious disease attending. Forced slot: justify route, duration, and renal safety without inventing a culture. Trap: inventing an organism or false culture finality.</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6. Continued-stay determination. Requester: utilization review physician advisor. Forced slot: decide whether inpatient care remains justified. Trap: treating improvement as readiness.</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7. Diabetes quality-measure abstraction. Requester: quality lead. Forced slot: apply the lookback and exclusion logic. Trap: missing a quiet denominator exclusion.</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8. Vascular surgery referral letter. Requester: hospitalist attending. Forced slot: convey perfusion uncertainty and what is not proven. Trap: overstating vascular adequacy from reassuring bedside language.</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9. Safety review of a missed-offloading event. Requester: hospitalist attending. Forced slot: separate system failure from blame and specify prevention. Trap: punishing an individual or missing the equipment-timing cause.</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10. Finalize discharge instructions from a started draft. Requester: hospitalist attending. Forced slot: make the instructions safe and language-aware without adding unsupported claims. Trap: propagating draft language unless a placeholder is used or correction is explicit.</w:t>
            </w:r>
          </w:p>
        </w:tc>
      </w:tr>
    </w:tbl>
    <w:p>
      <w:pPr>
        <w:spacing w:before="0" w:after="60" w:line="200" w:lineRule="auto"/>
      </w:pPr>
    </w:p>
    <w:p/>
    <w:p>
      <w:pPr>
        <w:spacing w:before="280" w:after="20" w:line="250" w:lineRule="auto"/>
      </w:pPr>
      <w:r>
        <w:rPr>
          <w:rFonts w:ascii="Arial" w:hAnsi="Arial"/>
          <w:b/>
          <w:color w:val="1F4D78"/>
          <w:sz w:val="24"/>
        </w:rPr>
        <w:t>13.</w:t>
      </w:r>
    </w:p>
    <w:p>
      <w:pPr>
        <w:spacing w:before="60" w:after="60" w:line="250" w:lineRule="auto"/>
      </w:pPr>
      <w:r>
        <w:rPr>
          <w:rFonts w:ascii="Arial" w:hAnsi="Arial"/>
          <w:b/>
          <w:color w:val="1F4D78"/>
          <w:sz w:val="22"/>
        </w:rPr>
        <w:t>Human</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6F8FA"/>
            <w:tcBorders>
              <w:top w:val="single" w:sz="6" w:space="0" w:color="D0D7DE"/>
              <w:right w:val="single" w:sz="6" w:space="0" w:color="D0D7DE"/>
              <w:bottom w:val="single" w:sz="6" w:space="0" w:color="D0D7DE"/>
              <w:left w:val="single" w:sz="14" w:space="0" w:color="1F4D78"/>
            </w:tcBorders>
          </w:tcPr>
          <w:p>
            <w:pPr>
              <w:spacing w:before="0" w:after="20" w:line="232" w:lineRule="auto"/>
            </w:pPr>
            <w:r>
              <w:rPr>
                <w:rFonts w:ascii="Courier New" w:hAnsi="Courier New"/>
                <w:color w:val="111827"/>
                <w:sz w:val="17"/>
              </w:rPr>
              <w:t>On the social situation. Make it raise the stakes but keep it out of the scored answer.</w:t>
            </w:r>
          </w:p>
        </w:tc>
      </w:tr>
    </w:tbl>
    <w:p>
      <w:pPr>
        <w:spacing w:before="0" w:after="60" w:line="200" w:lineRule="auto"/>
      </w:pPr>
    </w:p>
    <w:p/>
    <w:p>
      <w:pPr>
        <w:spacing w:before="60" w:after="60" w:line="250" w:lineRule="auto"/>
      </w:pPr>
      <w:r>
        <w:rPr>
          <w:rFonts w:ascii="Arial" w:hAnsi="Arial"/>
          <w:b/>
          <w:color w:val="8A5A44"/>
          <w:sz w:val="22"/>
        </w:rPr>
        <w:t>Assistant</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BF7F0"/>
            <w:tcBorders>
              <w:top w:val="single" w:sz="6" w:space="0" w:color="E4D8C8"/>
              <w:right w:val="single" w:sz="6" w:space="0" w:color="E4D8C8"/>
              <w:bottom w:val="single" w:sz="6" w:space="0" w:color="E4D8C8"/>
              <w:left w:val="single" w:sz="14" w:space="0" w:color="8A5A44"/>
            </w:tcBorders>
          </w:tcPr>
          <w:p>
            <w:pPr>
              <w:spacing w:before="0" w:after="20" w:line="232" w:lineRule="auto"/>
            </w:pPr>
            <w:r>
              <w:rPr>
                <w:rFonts w:ascii="Courier New" w:hAnsi="Courier New"/>
                <w:color w:val="111827"/>
                <w:sz w:val="17"/>
              </w:rPr>
              <w:t>Agreed. The social context is load and explanation, not the hidden trap.</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Living alone in a second-floor walk-up, a daughter who works nights, language preference, and benefit limits all raise the difficulty of disposition and make the payer appeal real. None of them is the scored item. The scored items stay clinical and administrative, the social facts explain why those decisions matter. I will note that distinction so a reviewer does not mistake the social load for the trap.</w:t>
            </w:r>
          </w:p>
        </w:tc>
      </w:tr>
    </w:tbl>
    <w:p>
      <w:pPr>
        <w:spacing w:before="0" w:after="60" w:line="200" w:lineRule="auto"/>
      </w:pPr>
    </w:p>
    <w:p/>
    <w:p>
      <w:pPr>
        <w:spacing w:before="280" w:after="20" w:line="250" w:lineRule="auto"/>
      </w:pPr>
      <w:r>
        <w:rPr>
          <w:rFonts w:ascii="Arial" w:hAnsi="Arial"/>
          <w:b/>
          <w:color w:val="1F4D78"/>
          <w:sz w:val="24"/>
        </w:rPr>
        <w:t>14.</w:t>
      </w:r>
    </w:p>
    <w:p>
      <w:pPr>
        <w:spacing w:before="60" w:after="60" w:line="250" w:lineRule="auto"/>
      </w:pPr>
      <w:r>
        <w:rPr>
          <w:rFonts w:ascii="Arial" w:hAnsi="Arial"/>
          <w:b/>
          <w:color w:val="1F4D78"/>
          <w:sz w:val="22"/>
        </w:rPr>
        <w:t>Human</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6F8FA"/>
            <w:tcBorders>
              <w:top w:val="single" w:sz="6" w:space="0" w:color="D0D7DE"/>
              <w:right w:val="single" w:sz="6" w:space="0" w:color="D0D7DE"/>
              <w:bottom w:val="single" w:sz="6" w:space="0" w:color="D0D7DE"/>
              <w:left w:val="single" w:sz="14" w:space="0" w:color="1F4D78"/>
            </w:tcBorders>
          </w:tcPr>
          <w:p>
            <w:pPr>
              <w:spacing w:before="0" w:after="20" w:line="232" w:lineRule="auto"/>
            </w:pPr>
            <w:r>
              <w:rPr>
                <w:rFonts w:ascii="Courier New" w:hAnsi="Courier New"/>
                <w:color w:val="111827"/>
                <w:sz w:val="17"/>
              </w:rPr>
              <w:t>Review this against the actual Brainstorm structure and the prior-world failures. Cover what the checklist misses. The clinician voice is the most important critique.</w:t>
            </w:r>
          </w:p>
        </w:tc>
      </w:tr>
    </w:tbl>
    <w:p>
      <w:pPr>
        <w:spacing w:before="0" w:after="60" w:line="200" w:lineRule="auto"/>
      </w:pPr>
    </w:p>
    <w:p/>
    <w:p>
      <w:pPr>
        <w:spacing w:before="60" w:after="60" w:line="250" w:lineRule="auto"/>
      </w:pPr>
      <w:r>
        <w:rPr>
          <w:rFonts w:ascii="Arial" w:hAnsi="Arial"/>
          <w:b/>
          <w:color w:val="8A5A44"/>
          <w:sz w:val="22"/>
        </w:rPr>
        <w:t>Assistant</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BF7F0"/>
            <w:tcBorders>
              <w:top w:val="single" w:sz="6" w:space="0" w:color="E4D8C8"/>
              <w:right w:val="single" w:sz="6" w:space="0" w:color="E4D8C8"/>
              <w:bottom w:val="single" w:sz="6" w:space="0" w:color="E4D8C8"/>
              <w:left w:val="single" w:sz="14" w:space="0" w:color="8A5A44"/>
            </w:tcBorders>
          </w:tcPr>
          <w:p>
            <w:pPr>
              <w:spacing w:before="0" w:after="20" w:line="232" w:lineRule="auto"/>
            </w:pPr>
            <w:r>
              <w:rPr>
                <w:rFonts w:ascii="Courier New" w:hAnsi="Courier New"/>
                <w:color w:val="111827"/>
                <w:sz w:val="17"/>
              </w:rPr>
              <w:t>Clinician-read critique:</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The Brainstorm is strong because it has a real patient-care problem, not a puzzle. The patient can look better and still be unsafe. That is a true internal medicine tension.</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What a checklist can miss:</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1. The pitch has to sound like a physician describing a hard admission, not a designer showing mechanics.</w:t>
            </w:r>
          </w:p>
          <w:p>
            <w:pPr>
              <w:spacing w:before="0" w:after="20" w:line="232" w:lineRule="auto"/>
            </w:pPr>
            <w:r>
              <w:rPr>
                <w:rFonts w:ascii="Courier New" w:hAnsi="Courier New"/>
                <w:color w:val="111827"/>
                <w:sz w:val="17"/>
              </w:rPr>
              <w:t>2. The payer denial cannot be cosmetic. It has to force a real judgment about disposition risk.</w:t>
            </w:r>
          </w:p>
          <w:p>
            <w:pPr>
              <w:spacing w:before="0" w:after="20" w:line="232" w:lineRule="auto"/>
            </w:pPr>
            <w:r>
              <w:rPr>
                <w:rFonts w:ascii="Courier New" w:hAnsi="Courier New"/>
                <w:color w:val="111827"/>
                <w:sz w:val="17"/>
              </w:rPr>
              <w:t>3. Osteomyelitis restraint has to be clinically owned. If the chart is equivocal, the correct move is not to diagnose harder.</w:t>
            </w:r>
          </w:p>
          <w:p>
            <w:pPr>
              <w:spacing w:before="0" w:after="20" w:line="232" w:lineRule="auto"/>
            </w:pPr>
            <w:r>
              <w:rPr>
                <w:rFonts w:ascii="Courier New" w:hAnsi="Courier New"/>
                <w:color w:val="111827"/>
                <w:sz w:val="17"/>
              </w:rPr>
              <w:t>4. Social context should raise load and explain why decisions matter, not be the hidden scored trap.</w:t>
            </w:r>
          </w:p>
          <w:p>
            <w:pPr>
              <w:spacing w:before="0" w:after="20" w:line="232" w:lineRule="auto"/>
            </w:pPr>
            <w:r>
              <w:rPr>
                <w:rFonts w:ascii="Courier New" w:hAnsi="Courier New"/>
                <w:color w:val="111827"/>
                <w:sz w:val="17"/>
              </w:rPr>
              <w:t>5. Every task needs a named requester and a credible reason that person needs the physician now.</w:t>
            </w:r>
          </w:p>
          <w:p>
            <w:pPr>
              <w:spacing w:before="0" w:after="20" w:line="232" w:lineRule="auto"/>
            </w:pPr>
            <w:r>
              <w:rPr>
                <w:rFonts w:ascii="Courier New" w:hAnsi="Courier New"/>
                <w:color w:val="111827"/>
                <w:sz w:val="17"/>
              </w:rPr>
              <w:t>6. Same-author started drafts need placeholders or explicit correction. External wrong-by-genre documents are fair rebuttal surfaces.</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Actionable fixes:</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1. Expand the comorbidity profile to a real problem list of at least ten conditions, so the case carries the load a single-organ story would not.</w:t>
            </w:r>
          </w:p>
          <w:p>
            <w:pPr>
              <w:spacing w:before="0" w:after="20" w:line="232" w:lineRule="auto"/>
            </w:pPr>
            <w:r>
              <w:rPr>
                <w:rFonts w:ascii="Courier New" w:hAnsi="Courier New"/>
                <w:color w:val="111827"/>
                <w:sz w:val="17"/>
              </w:rPr>
              <w:t>2. Remove internal labels and any task-design or platform vocabulary from the reviewer-facing version.</w:t>
            </w:r>
          </w:p>
          <w:p>
            <w:pPr>
              <w:spacing w:before="0" w:after="20" w:line="232" w:lineRule="auto"/>
            </w:pPr>
            <w:r>
              <w:rPr>
                <w:rFonts w:ascii="Courier New" w:hAnsi="Courier New"/>
                <w:color w:val="111827"/>
                <w:sz w:val="17"/>
              </w:rPr>
              <w:t>3. Add per-task priority labels, not just an aggregate note.</w:t>
            </w:r>
          </w:p>
          <w:p>
            <w:pPr>
              <w:spacing w:before="0" w:after="20" w:line="232" w:lineRule="auto"/>
            </w:pPr>
            <w:r>
              <w:rPr>
                <w:rFonts w:ascii="Courier New" w:hAnsi="Courier New"/>
                <w:color w:val="111827"/>
                <w:sz w:val="17"/>
              </w:rPr>
              <w:t>4. Keep the Brainstorm at concept depth. Do not invent doses or final lab values here; those belong to the substrate stage where they can be ratified.</w:t>
            </w:r>
          </w:p>
          <w:p>
            <w:pPr>
              <w:spacing w:before="0" w:after="20" w:line="232" w:lineRule="auto"/>
            </w:pPr>
            <w:r>
              <w:rPr>
                <w:rFonts w:ascii="Courier New" w:hAnsi="Courier New"/>
                <w:color w:val="111827"/>
                <w:sz w:val="17"/>
              </w:rPr>
              <w:t>5. Carry the prior-world lesson forward. Fairness is judged on what the built files actually say, so every trap must stay refutable from the chart and no reviewer-facing file should leak internal or source register.</w:t>
            </w:r>
          </w:p>
        </w:tc>
      </w:tr>
    </w:tbl>
    <w:p>
      <w:pPr>
        <w:spacing w:before="0" w:after="60" w:line="200" w:lineRule="auto"/>
      </w:pPr>
    </w:p>
    <w:p/>
    <w:p>
      <w:pPr>
        <w:spacing w:before="280" w:after="20" w:line="250" w:lineRule="auto"/>
      </w:pPr>
      <w:r>
        <w:rPr>
          <w:rFonts w:ascii="Arial" w:hAnsi="Arial"/>
          <w:b/>
          <w:color w:val="1F4D78"/>
          <w:sz w:val="24"/>
        </w:rPr>
        <w:t>15.</w:t>
      </w:r>
    </w:p>
    <w:p>
      <w:pPr>
        <w:spacing w:before="60" w:after="60" w:line="250" w:lineRule="auto"/>
      </w:pPr>
      <w:r>
        <w:rPr>
          <w:rFonts w:ascii="Arial" w:hAnsi="Arial"/>
          <w:b/>
          <w:color w:val="1F4D78"/>
          <w:sz w:val="22"/>
        </w:rPr>
        <w:t>Human</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6F8FA"/>
            <w:tcBorders>
              <w:top w:val="single" w:sz="6" w:space="0" w:color="D0D7DE"/>
              <w:right w:val="single" w:sz="6" w:space="0" w:color="D0D7DE"/>
              <w:bottom w:val="single" w:sz="6" w:space="0" w:color="D0D7DE"/>
              <w:left w:val="single" w:sz="14" w:space="0" w:color="1F4D78"/>
            </w:tcBorders>
          </w:tcPr>
          <w:p>
            <w:pPr>
              <w:spacing w:before="0" w:after="20" w:line="232" w:lineRule="auto"/>
            </w:pPr>
            <w:r>
              <w:rPr>
                <w:rFonts w:ascii="Courier New" w:hAnsi="Courier New"/>
                <w:color w:val="111827"/>
                <w:sz w:val="17"/>
              </w:rPr>
              <w:t>Increase comorbidity to 10-plus. Prepare the submission copy.</w:t>
            </w:r>
          </w:p>
        </w:tc>
      </w:tr>
    </w:tbl>
    <w:p>
      <w:pPr>
        <w:spacing w:before="0" w:after="60" w:line="200" w:lineRule="auto"/>
      </w:pPr>
    </w:p>
    <w:p/>
    <w:p>
      <w:pPr>
        <w:spacing w:before="60" w:after="60" w:line="250" w:lineRule="auto"/>
      </w:pPr>
      <w:r>
        <w:rPr>
          <w:rFonts w:ascii="Arial" w:hAnsi="Arial"/>
          <w:b/>
          <w:color w:val="8A5A44"/>
          <w:sz w:val="22"/>
        </w:rPr>
        <w:t>Assistant</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BF7F0"/>
            <w:tcBorders>
              <w:top w:val="single" w:sz="6" w:space="0" w:color="E4D8C8"/>
              <w:right w:val="single" w:sz="6" w:space="0" w:color="E4D8C8"/>
              <w:bottom w:val="single" w:sz="6" w:space="0" w:color="E4D8C8"/>
              <w:left w:val="single" w:sz="14" w:space="0" w:color="8A5A44"/>
            </w:tcBorders>
          </w:tcPr>
          <w:p>
            <w:pPr>
              <w:spacing w:before="0" w:after="20" w:line="232" w:lineRule="auto"/>
            </w:pPr>
            <w:r>
              <w:rPr>
                <w:rFonts w:ascii="Courier New" w:hAnsi="Courier New"/>
                <w:color w:val="111827"/>
                <w:sz w:val="17"/>
              </w:rPr>
              <w:t>Concept-level comorbidity expansion:</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Insulin-dependent type 2 diabetes. Diabetic peripheral neuropathy. Mild diabetic retinopathy. Kidney disease stage 3b. Anemia of kidney disease. Peripheral arterial disease. Heart failure with preserved ejection fraction. Hypertension. Dyslipidemia. Obesity. Obstructive sleep apnea. Osteoarthritis. Limited mobility.</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Submission cleanup:</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World type declaration placed in the first line. Internal labels removed. Task table kept reviewer-facing. Task structures stated as plain categories. Requester roles retained. Forced slot retained per task. A distinct task-level trap retained per task.</w:t>
            </w:r>
          </w:p>
        </w:tc>
      </w:tr>
    </w:tbl>
    <w:p>
      <w:pPr>
        <w:spacing w:before="0" w:after="60" w:line="200" w:lineRule="auto"/>
      </w:pPr>
    </w:p>
    <w:p/>
    <w:p>
      <w:pPr>
        <w:spacing w:before="280" w:after="20" w:line="250" w:lineRule="auto"/>
      </w:pPr>
      <w:r>
        <w:rPr>
          <w:rFonts w:ascii="Arial" w:hAnsi="Arial"/>
          <w:b/>
          <w:color w:val="1F4D78"/>
          <w:sz w:val="24"/>
        </w:rPr>
        <w:t>16.</w:t>
      </w:r>
    </w:p>
    <w:p>
      <w:pPr>
        <w:spacing w:before="60" w:after="60" w:line="250" w:lineRule="auto"/>
      </w:pPr>
      <w:r>
        <w:rPr>
          <w:rFonts w:ascii="Arial" w:hAnsi="Arial"/>
          <w:b/>
          <w:color w:val="1F4D78"/>
          <w:sz w:val="22"/>
        </w:rPr>
        <w:t>Human</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6F8FA"/>
            <w:tcBorders>
              <w:top w:val="single" w:sz="6" w:space="0" w:color="D0D7DE"/>
              <w:right w:val="single" w:sz="6" w:space="0" w:color="D0D7DE"/>
              <w:bottom w:val="single" w:sz="6" w:space="0" w:color="D0D7DE"/>
              <w:left w:val="single" w:sz="14" w:space="0" w:color="1F4D78"/>
            </w:tcBorders>
          </w:tcPr>
          <w:p>
            <w:pPr>
              <w:spacing w:before="0" w:after="20" w:line="232" w:lineRule="auto"/>
            </w:pPr>
            <w:r>
              <w:rPr>
                <w:rFonts w:ascii="Courier New" w:hAnsi="Courier New"/>
                <w:color w:val="111827"/>
                <w:sz w:val="17"/>
              </w:rPr>
              <w:t>Brainstorm AutoQC failed one item. It says workflows have categories, but priority labels only appear in aggregate. It wants both present for every task.</w:t>
            </w:r>
          </w:p>
        </w:tc>
      </w:tr>
    </w:tbl>
    <w:p>
      <w:pPr>
        <w:spacing w:before="0" w:after="60" w:line="200" w:lineRule="auto"/>
      </w:pPr>
    </w:p>
    <w:p/>
    <w:p>
      <w:pPr>
        <w:spacing w:before="60" w:after="60" w:line="250" w:lineRule="auto"/>
      </w:pPr>
      <w:r>
        <w:rPr>
          <w:rFonts w:ascii="Arial" w:hAnsi="Arial"/>
          <w:b/>
          <w:color w:val="8A5A44"/>
          <w:sz w:val="22"/>
        </w:rPr>
        <w:t>Assistant</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BF7F0"/>
            <w:tcBorders>
              <w:top w:val="single" w:sz="6" w:space="0" w:color="E4D8C8"/>
              <w:right w:val="single" w:sz="6" w:space="0" w:color="E4D8C8"/>
              <w:bottom w:val="single" w:sz="6" w:space="0" w:color="E4D8C8"/>
              <w:left w:val="single" w:sz="14" w:space="0" w:color="8A5A44"/>
            </w:tcBorders>
          </w:tcPr>
          <w:p>
            <w:pPr>
              <w:spacing w:before="0" w:after="20" w:line="232" w:lineRule="auto"/>
            </w:pPr>
            <w:r>
              <w:rPr>
                <w:rFonts w:ascii="Courier New" w:hAnsi="Courier New"/>
                <w:color w:val="111827"/>
                <w:sz w:val="17"/>
              </w:rPr>
              <w:t>Valid finding. Patch, do not argue.</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Fix: add a priority column to the ten-task table.</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Assignments: tasks one through five are P0, task six is P1, tasks seven through ten are P0.</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Supporting line: priority labels are explicit per task. Tasks one through five and seven through ten are P0, task six is P1.</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This keeps the slate and closes the formal gate.</w:t>
            </w:r>
          </w:p>
        </w:tc>
      </w:tr>
    </w:tbl>
    <w:p>
      <w:pPr>
        <w:spacing w:before="0" w:after="60" w:line="200" w:lineRule="auto"/>
      </w:pPr>
    </w:p>
    <w:p/>
    <w:p>
      <w:pPr>
        <w:spacing w:before="280" w:after="20" w:line="250" w:lineRule="auto"/>
      </w:pPr>
      <w:r>
        <w:rPr>
          <w:rFonts w:ascii="Arial" w:hAnsi="Arial"/>
          <w:b/>
          <w:color w:val="1F4D78"/>
          <w:sz w:val="24"/>
        </w:rPr>
        <w:t>17.</w:t>
      </w:r>
    </w:p>
    <w:p>
      <w:pPr>
        <w:spacing w:before="60" w:after="60" w:line="250" w:lineRule="auto"/>
      </w:pPr>
      <w:r>
        <w:rPr>
          <w:rFonts w:ascii="Arial" w:hAnsi="Arial"/>
          <w:b/>
          <w:color w:val="1F4D78"/>
          <w:sz w:val="22"/>
        </w:rPr>
        <w:t>Human</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6F8FA"/>
            <w:tcBorders>
              <w:top w:val="single" w:sz="6" w:space="0" w:color="D0D7DE"/>
              <w:right w:val="single" w:sz="6" w:space="0" w:color="D0D7DE"/>
              <w:bottom w:val="single" w:sz="6" w:space="0" w:color="D0D7DE"/>
              <w:left w:val="single" w:sz="14" w:space="0" w:color="1F4D78"/>
            </w:tcBorders>
          </w:tcPr>
          <w:p>
            <w:pPr>
              <w:spacing w:before="0" w:after="20" w:line="232" w:lineRule="auto"/>
            </w:pPr>
            <w:r>
              <w:rPr>
                <w:rFonts w:ascii="Courier New" w:hAnsi="Courier New"/>
                <w:color w:val="111827"/>
                <w:sz w:val="17"/>
              </w:rPr>
              <w:t>AutoQC passed. What next for us? Are we following the prior-world steps to World Spec, templates, and submission?</w:t>
            </w:r>
          </w:p>
        </w:tc>
      </w:tr>
    </w:tbl>
    <w:p>
      <w:pPr>
        <w:spacing w:before="0" w:after="60" w:line="200" w:lineRule="auto"/>
      </w:pPr>
    </w:p>
    <w:p/>
    <w:p>
      <w:pPr>
        <w:spacing w:before="60" w:after="60" w:line="250" w:lineRule="auto"/>
      </w:pPr>
      <w:r>
        <w:rPr>
          <w:rFonts w:ascii="Arial" w:hAnsi="Arial"/>
          <w:b/>
          <w:color w:val="8A5A44"/>
          <w:sz w:val="22"/>
        </w:rPr>
        <w:t>Assistant</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BF7F0"/>
            <w:tcBorders>
              <w:top w:val="single" w:sz="6" w:space="0" w:color="E4D8C8"/>
              <w:right w:val="single" w:sz="6" w:space="0" w:color="E4D8C8"/>
              <w:bottom w:val="single" w:sz="6" w:space="0" w:color="E4D8C8"/>
              <w:left w:val="single" w:sz="14" w:space="0" w:color="8A5A44"/>
            </w:tcBorders>
          </w:tcPr>
          <w:p>
            <w:pPr>
              <w:spacing w:before="0" w:after="20" w:line="232" w:lineRule="auto"/>
            </w:pPr>
            <w:r>
              <w:rPr>
                <w:rFonts w:ascii="Courier New" w:hAnsi="Courier New"/>
                <w:color w:val="111827"/>
                <w:sz w:val="17"/>
              </w:rPr>
              <w:t>Next is human Brainstorm review, then the World Spec. Do not draft the World Spec until the Brainstorm receives human approval and you authorize the phase shift.</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World Spec submission will need:</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1. The approved World Spec document.</w:t>
            </w:r>
          </w:p>
          <w:p>
            <w:pPr>
              <w:spacing w:before="0" w:after="20" w:line="232" w:lineRule="auto"/>
            </w:pPr>
            <w:r>
              <w:rPr>
                <w:rFonts w:ascii="Courier New" w:hAnsi="Courier New"/>
                <w:color w:val="111827"/>
                <w:sz w:val="17"/>
              </w:rPr>
              <w:t>2. World-level files, at least thirty for a new world.</w:t>
            </w:r>
          </w:p>
          <w:p>
            <w:pPr>
              <w:spacing w:before="0" w:after="20" w:line="232" w:lineRule="auto"/>
            </w:pPr>
            <w:r>
              <w:rPr>
                <w:rFonts w:ascii="Courier New" w:hAnsi="Courier New"/>
                <w:color w:val="111827"/>
                <w:sz w:val="17"/>
              </w:rPr>
              <w:t>3. The reference file package.</w:t>
            </w:r>
          </w:p>
          <w:p>
            <w:pPr>
              <w:spacing w:before="0" w:after="20" w:line="232" w:lineRule="auto"/>
            </w:pPr>
            <w:r>
              <w:rPr>
                <w:rFonts w:ascii="Courier New" w:hAnsi="Courier New"/>
                <w:color w:val="111827"/>
                <w:sz w:val="17"/>
              </w:rPr>
              <w:t>4. The Brainstorm transcript.</w:t>
            </w:r>
          </w:p>
          <w:p>
            <w:pPr>
              <w:spacing w:before="0" w:after="20" w:line="232" w:lineRule="auto"/>
            </w:pPr>
            <w:r>
              <w:rPr>
                <w:rFonts w:ascii="Courier New" w:hAnsi="Courier New"/>
                <w:color w:val="111827"/>
                <w:sz w:val="17"/>
              </w:rPr>
              <w:t>5. The World Spec transcript.</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The Brainstorm transcript should show the real shape of the work: physician-owned decisions, supported option generation, critique, the patch after the automated check, and the readiness call.</w:t>
            </w:r>
          </w:p>
        </w:tc>
      </w:tr>
    </w:tbl>
    <w:p>
      <w:pPr>
        <w:spacing w:before="0" w:after="60" w:line="200" w:lineRule="auto"/>
      </w:pPr>
    </w:p>
    <w:p/>
    <w:p>
      <w:pPr>
        <w:spacing w:before="280" w:after="20" w:line="250" w:lineRule="auto"/>
      </w:pPr>
      <w:r>
        <w:rPr>
          <w:rFonts w:ascii="Arial" w:hAnsi="Arial"/>
          <w:b/>
          <w:color w:val="1F4D78"/>
          <w:sz w:val="24"/>
        </w:rPr>
        <w:t>18.</w:t>
      </w:r>
    </w:p>
    <w:p>
      <w:pPr>
        <w:spacing w:before="60" w:after="60" w:line="250" w:lineRule="auto"/>
      </w:pPr>
      <w:r>
        <w:rPr>
          <w:rFonts w:ascii="Arial" w:hAnsi="Arial"/>
          <w:b/>
          <w:color w:val="1F4D78"/>
          <w:sz w:val="22"/>
        </w:rPr>
        <w:t>Human</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6F8FA"/>
            <w:tcBorders>
              <w:top w:val="single" w:sz="6" w:space="0" w:color="D0D7DE"/>
              <w:right w:val="single" w:sz="6" w:space="0" w:color="D0D7DE"/>
              <w:bottom w:val="single" w:sz="6" w:space="0" w:color="D0D7DE"/>
              <w:left w:val="single" w:sz="14" w:space="0" w:color="1F4D78"/>
            </w:tcBorders>
          </w:tcPr>
          <w:p>
            <w:pPr>
              <w:spacing w:before="0" w:after="20" w:line="232" w:lineRule="auto"/>
            </w:pPr>
            <w:r>
              <w:rPr>
                <w:rFonts w:ascii="Courier New" w:hAnsi="Courier New"/>
                <w:color w:val="111827"/>
                <w:sz w:val="17"/>
              </w:rPr>
              <w:t>Use the Claude chat link as the transcript source.</w:t>
            </w:r>
          </w:p>
        </w:tc>
      </w:tr>
    </w:tbl>
    <w:p>
      <w:pPr>
        <w:spacing w:before="0" w:after="60" w:line="200" w:lineRule="auto"/>
      </w:pPr>
    </w:p>
    <w:p/>
    <w:p>
      <w:pPr>
        <w:spacing w:before="60" w:after="60" w:line="250" w:lineRule="auto"/>
      </w:pPr>
      <w:r>
        <w:rPr>
          <w:rFonts w:ascii="Arial" w:hAnsi="Arial"/>
          <w:b/>
          <w:color w:val="8A5A44"/>
          <w:sz w:val="22"/>
        </w:rPr>
        <w:t>Assistant</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BF7F0"/>
            <w:tcBorders>
              <w:top w:val="single" w:sz="6" w:space="0" w:color="E4D8C8"/>
              <w:right w:val="single" w:sz="6" w:space="0" w:color="E4D8C8"/>
              <w:bottom w:val="single" w:sz="6" w:space="0" w:color="E4D8C8"/>
              <w:left w:val="single" w:sz="14" w:space="0" w:color="8A5A44"/>
            </w:tcBorders>
          </w:tcPr>
          <w:p>
            <w:pPr>
              <w:spacing w:before="0" w:after="20" w:line="232" w:lineRule="auto"/>
            </w:pPr>
            <w:r>
              <w:rPr>
                <w:rFonts w:ascii="Courier New" w:hAnsi="Courier New"/>
                <w:color w:val="111827"/>
                <w:sz w:val="17"/>
              </w:rPr>
              <w:t>Recorded source link:</w:t>
            </w:r>
          </w:p>
          <w:p>
            <w:pPr>
              <w:spacing w:before="0" w:after="20" w:line="232" w:lineRule="auto"/>
            </w:pPr>
            <w:r>
              <w:rPr>
                <w:rFonts w:ascii="Courier New" w:hAnsi="Courier New"/>
                <w:color w:val="111827"/>
                <w:sz w:val="17"/>
              </w:rPr>
              <w:t>https://claude.ai/share/7a6fd723-a3d7-487c-a6b2-798df59e5c91</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The transcript packet should preserve the link, show the conversation as role-labeled turns, keep document excerpts inside code-style blocks, and avoid internal tooling language.</w:t>
            </w:r>
          </w:p>
        </w:tc>
      </w:tr>
    </w:tbl>
    <w:p>
      <w:pPr>
        <w:spacing w:before="0" w:after="60" w:line="200" w:lineRule="auto"/>
      </w:pPr>
    </w:p>
    <w:p/>
    <w:p>
      <w:pPr>
        <w:spacing w:before="280" w:after="20" w:line="250" w:lineRule="auto"/>
      </w:pPr>
      <w:r>
        <w:rPr>
          <w:rFonts w:ascii="Arial" w:hAnsi="Arial"/>
          <w:b/>
          <w:color w:val="1F4D78"/>
          <w:sz w:val="24"/>
        </w:rPr>
        <w:t>19.</w:t>
      </w:r>
    </w:p>
    <w:p>
      <w:pPr>
        <w:spacing w:before="60" w:after="60" w:line="250" w:lineRule="auto"/>
      </w:pPr>
      <w:r>
        <w:rPr>
          <w:rFonts w:ascii="Arial" w:hAnsi="Arial"/>
          <w:b/>
          <w:color w:val="1F4D78"/>
          <w:sz w:val="22"/>
        </w:rPr>
        <w:t>Human</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6F8FA"/>
            <w:tcBorders>
              <w:top w:val="single" w:sz="6" w:space="0" w:color="D0D7DE"/>
              <w:right w:val="single" w:sz="6" w:space="0" w:color="D0D7DE"/>
              <w:bottom w:val="single" w:sz="6" w:space="0" w:color="D0D7DE"/>
              <w:left w:val="single" w:sz="14" w:space="0" w:color="1F4D78"/>
            </w:tcBorders>
          </w:tcPr>
          <w:p>
            <w:pPr>
              <w:spacing w:before="0" w:after="20" w:line="232" w:lineRule="auto"/>
            </w:pPr>
            <w:r>
              <w:rPr>
                <w:rFonts w:ascii="Courier New" w:hAnsi="Courier New"/>
                <w:color w:val="111827"/>
                <w:sz w:val="17"/>
              </w:rPr>
              <w:t>Final readiness check.</w:t>
            </w:r>
          </w:p>
        </w:tc>
      </w:tr>
    </w:tbl>
    <w:p>
      <w:pPr>
        <w:spacing w:before="0" w:after="60" w:line="200" w:lineRule="auto"/>
      </w:pPr>
    </w:p>
    <w:p/>
    <w:p>
      <w:pPr>
        <w:spacing w:before="60" w:after="60" w:line="250" w:lineRule="auto"/>
      </w:pPr>
      <w:r>
        <w:rPr>
          <w:rFonts w:ascii="Arial" w:hAnsi="Arial"/>
          <w:b/>
          <w:color w:val="8A5A44"/>
          <w:sz w:val="22"/>
        </w:rPr>
        <w:t>Assistant</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BF7F0"/>
            <w:tcBorders>
              <w:top w:val="single" w:sz="6" w:space="0" w:color="E4D8C8"/>
              <w:right w:val="single" w:sz="6" w:space="0" w:color="E4D8C8"/>
              <w:bottom w:val="single" w:sz="6" w:space="0" w:color="E4D8C8"/>
              <w:left w:val="single" w:sz="14" w:space="0" w:color="8A5A44"/>
            </w:tcBorders>
          </w:tcPr>
          <w:p>
            <w:pPr>
              <w:spacing w:before="0" w:after="20" w:line="232" w:lineRule="auto"/>
            </w:pPr>
            <w:r>
              <w:rPr>
                <w:rFonts w:ascii="Courier New" w:hAnsi="Courier New"/>
                <w:color w:val="111827"/>
                <w:sz w:val="17"/>
              </w:rPr>
              <w:t>Final readiness:</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The Brainstorm is ready for human review. It contains four required concept elements, ten tasks, per-task requester roles, per-task workflow and priority labels, per-task forced slots, distinct task-level traps, an explicit snapshot date and time, independent post-snapshot task branches, no dependence on knowledge after July 2025, and no same-author planted-falsehood mechanism.</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Boundary: World Spec drafting stays closed until human Brainstorm review returns approval and you authorize the next phase.</w:t>
            </w:r>
          </w:p>
        </w:tc>
      </w:tr>
    </w:tbl>
    <w:p>
      <w:pPr>
        <w:spacing w:before="0" w:after="60" w:line="200" w:lineRule="auto"/>
      </w:pPr>
    </w:p>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666666"/>
        <w:sz w:val="16"/>
      </w:rPr>
      <w:t>Ondina Vasquell Brainstorm Claude transcript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Ondina Vasquell Brainstorm Claude Transcript</dc:title>
  <dc:subject/>
  <dc:creator/>
  <cp:keywords/>
  <dc:description/>
  <cp:lastModifiedBy/>
  <cp:revision>1</cp:revision>
  <dcterms:created xsi:type="dcterms:W3CDTF">2013-12-23T23:15:00Z</dcterms:created>
  <dcterms:modified xsi:type="dcterms:W3CDTF">2013-12-23T23:15:00Z</dcterms:modified>
  <cp:category/>
</cp:coreProperties>
</file>