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a286304672cc5a4b1e1b3ab489b3c3ae4c51f1"/>
    <w:p>
      <w:pPr>
        <w:pStyle w:val="Heading1"/>
      </w:pPr>
      <w:r>
        <w:t xml:space="preserve">DISCHARGE MEDICATION RECONCILIATION &amp; MEDICATION-SAFETY REVIEW</w:t>
      </w:r>
    </w:p>
    <w:p>
      <w:pPr>
        <w:pStyle w:val="FirstParagraph"/>
      </w:pPr>
      <w:r>
        <w:rPr>
          <w:bCs/>
          <w:b/>
        </w:rPr>
        <w:t xml:space="preserve">Mercy Vale Regional Medical Center — Hospital Medicine / Inpatient Pharmacy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Korvin Merrow, 62 y, 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02/18/1964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KM-6427819 ·</w:t>
            </w:r>
            <w:r>
              <w:t xml:space="preserve"> </w:t>
            </w:r>
            <w:r>
              <w:rPr>
                <w:bCs/>
                <w:b/>
              </w:rPr>
              <w:t xml:space="preserve">FIN</w:t>
            </w:r>
            <w:r>
              <w:t xml:space="preserve"> </w:t>
            </w:r>
            <w:r>
              <w:t xml:space="preserve">KM-2026-051877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 /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West Medical / 5W-318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05/18/2026 (HD1) ·</w:t>
            </w:r>
            <w:r>
              <w:t xml:space="preserve"> </w:t>
            </w:r>
            <w:r>
              <w:rPr>
                <w:bCs/>
                <w:b/>
              </w:rPr>
              <w:t xml:space="preserve">Planned discharge</w:t>
            </w:r>
            <w:r>
              <w:t xml:space="preserve"> </w:t>
            </w:r>
            <w:r>
              <w:t xml:space="preserve">05/24/2026 (HD7) 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Lisinopril — cough (ACE-inhibitor class intolerance); no known food/environmental allergies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Discharge medication reconciliation note — organized by disposition; for pharmacist + covering-hospitalist co-signature before release with discharge paperwork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Prepared in response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Discharge Medication Reconciliation Request (Vossmere/Marlott, 05/24/2026) and Medication-Safety Handoff Addendum (05/24/2026)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purpose--sources"/>
    <w:p>
      <w:pPr>
        <w:pStyle w:val="Heading2"/>
      </w:pPr>
      <w:r>
        <w:t xml:space="preserve">PURPOSE &amp; SOURCES</w:t>
      </w:r>
    </w:p>
    <w:p>
      <w:pPr>
        <w:pStyle w:val="FirstParagraph"/>
      </w:pPr>
      <w:r>
        <w:t xml:space="preserve">This note reconciles Mr. Merrow's verified 19-item home regimen against the inpatient MAR for the full course (HD1–HD6), assigns each item a discharge disposition with restart parameters, resolves prednisone provenance, sequences the cardiorenal regimen, separates inpatient-only therapies, and supplies a home medication-management safety plan with teach-back. Sources reviewed: initial medication reconciliation (Marlott, 05/18); MAR HD1–HD6; Cardiology (Caldrane) and Nephrology (Solthar) consults + dated addenda HD2–HD6; Endocrinology (Veylorn) HD4–HD6; outpatient Rheumatology provenance (Halvek, 05/21); Harbor Crest pharmacy refill history (05/18); renal/infection/hemodynamic trend summary; nursing flowsheet; PT (Volkos) and OT (Sayre) assessments; Case Management/Social Work and family-conference notes; PCP baseline (Quenor); admission H&amp;P and hospitalist progress HD1–HD6.</w:t>
      </w:r>
    </w:p>
    <w:p>
      <w:pPr>
        <w:pStyle w:val="BodyText"/>
      </w:pPr>
      <w:r>
        <w:rPr>
          <w:bCs/>
          <w:b/>
        </w:rPr>
        <w:t xml:space="preserve">Baseline comparators (outpatient):</w:t>
      </w:r>
      <w:r>
        <w:t xml:space="preserve"> </w:t>
      </w:r>
      <w:r>
        <w:t xml:space="preserve">creatinine 1.6–1.8 mg/dL (eGFR 40–50), hemoglobin 10.5–11.5 g/dL, A1c 7.6–8.2 %, dry weight ≈ 97 kg, habitually low-normal blood pressures.</w:t>
      </w:r>
    </w:p>
    <w:p>
      <w:pPr>
        <w:pStyle w:val="BodyText"/>
      </w:pPr>
      <w:r>
        <w:rPr>
          <w:bCs/>
          <w:b/>
        </w:rPr>
        <w:t xml:space="preserve">Discharge-day physiology (HD6, 05/23 pre-18:00):</w:t>
      </w:r>
      <w:r>
        <w:t xml:space="preserve"> </w:t>
      </w:r>
      <w:r>
        <w:t xml:space="preserve">afebrile; SBP 114–130; creatinine 1.80 (upper edge of baseline — AKI resolved by lab criteria); K⁺ 4.4; WBC 9.4 (from 15.6 on HD1); intake 75–90 % of meals; ambulating with supervision + rolling walker; Morse Fall Scale 65 (high).</w:t>
      </w:r>
    </w:p>
    <w:p>
      <w:r>
        <w:pict>
          <v:rect style="width:0;height:1.5pt" o:hralign="center" o:hrstd="t" o:hr="t"/>
        </w:pict>
      </w:r>
    </w:p>
    <w:bookmarkEnd w:id="20"/>
    <w:bookmarkStart w:id="25" w:name="core-disposition-summary"/>
    <w:p>
      <w:pPr>
        <w:pStyle w:val="Heading2"/>
      </w:pPr>
      <w:r>
        <w:t xml:space="preserve">CORE DISPOSITION SUMMARY</w:t>
      </w:r>
    </w:p>
    <w:p>
      <w:pPr>
        <w:pStyle w:val="FirstParagraph"/>
      </w:pPr>
      <w:r>
        <w:t xml:space="preserve">Eighteen of nineteen home medications were source-verified across patient, family, pharmacy fill history, and the PCP list at admission; prednisone is the sole unverified item. Every medication below carries a documented outpatient indication on the PCP baseline/problem list</w:t>
      </w:r>
      <w:r>
        <w:t xml:space="preserve"> </w:t>
      </w:r>
      <w:r>
        <w:rPr>
          <w:bCs/>
          <w:b/>
        </w:rPr>
        <w:t xml:space="preserve">except</w:t>
      </w:r>
      <w:r>
        <w:t xml:space="preserve"> </w:t>
      </w:r>
      <w:r>
        <w:t xml:space="preserve">the two inpatient-only agents explicitly separated in Section C. Cardiology and Nephrology agree the acute holds were appropriate and that restart must be</w:t>
      </w:r>
      <w:r>
        <w:t xml:space="preserve"> </w:t>
      </w:r>
      <w:r>
        <w:rPr>
          <w:bCs/>
          <w:b/>
        </w:rPr>
        <w:t xml:space="preserve">staged and parameter-gated, not simultaneous</w:t>
      </w:r>
      <w:r>
        <w:t xml:space="preserve">; both decline to declare a unilateral full restart safe at the moment of discharge and defer the synthesis to the hospitalist. This note therefore discharges the renally/hemodynamically active HFrEF agents</w:t>
      </w:r>
      <w:r>
        <w:t xml:space="preserve"> </w:t>
      </w:r>
      <w:r>
        <w:rPr>
          <w:bCs/>
          <w:b/>
        </w:rPr>
        <w:t xml:space="preserve">held with explicit restart parameters and an owned outpatient sequence</w:t>
      </w:r>
      <w:r>
        <w:t xml:space="preserve"> </w:t>
      </w:r>
      <w:r>
        <w:t xml:space="preserve">rather than auto-resuming them.</w:t>
      </w:r>
    </w:p>
    <w:bookmarkStart w:id="21" w:name="X81833c584e680c378f53969c34aa700d7787b4a"/>
    <w:p>
      <w:pPr>
        <w:pStyle w:val="Heading3"/>
      </w:pPr>
      <w:r>
        <w:t xml:space="preserve">A. CONTINUED (resume at home dose — no change)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 / route / freq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Outpatient indication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Inpatient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Discharge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Aspirin 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 mg PO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 secondary prevention (mid-LAD DES 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HD1–HD6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81 mg 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Atorvastatin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mg PO nightly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 / mixed hyperlipidemia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HD1–HD6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40 mg nightly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Pantoprazole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mg PO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Chronic GERD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HD1–HD6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40 mg 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Carvedilol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 mg PO 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HFrEF / CAD beta-blockade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HD1, half-day HD3,</w:t>
            </w:r>
            <w:r>
              <w:t xml:space="preserve"> </w:t>
            </w:r>
            <w:r>
              <w:rPr>
                <w:bCs/>
                <w:b/>
              </w:rPr>
              <w:t xml:space="preserve">resumed cautious BID HD4–HD6</w:t>
            </w:r>
            <w:r>
              <w:t xml:space="preserve">; tolerated at SBP 114–130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Continue 12.5 mg BID</w:t>
            </w:r>
            <w:r>
              <w:t xml:space="preserve"> </w:t>
            </w:r>
            <w:r>
              <w:t xml:space="preserve">(already at home dose). Hold a dose and call if SBP &lt;100 or HR &lt;55 or symptomatic lightheadedness. Do not stop abruptly.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Calcium carbonate 600 mg / vit D 400 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Bone health w/ chronic steroid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HD1 (poor PO), given HD2–HD6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BID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Ferrous sulfate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 mg PO every other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of CKD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on schedule HD3/HD6 (alternating-day)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every other day with food; separate from calcium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Gabapentin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mg PO nightly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Diabetic peripheral neuropathy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HD1–HD2 then 100 mg HD3–HD4 for sedation/fall risk;</w:t>
            </w:r>
            <w:r>
              <w:t xml:space="preserve"> </w:t>
            </w:r>
            <w:r>
              <w:rPr>
                <w:bCs/>
                <w:b/>
              </w:rPr>
              <w:t xml:space="preserve">back to 300 mg HD5–HD6</w:t>
            </w:r>
            <w:r>
              <w:t xml:space="preserve"> </w:t>
            </w:r>
            <w:r>
              <w:t xml:space="preserve">with improved 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300 mg nightly; re-hold and reassess if evening sedation/confusion recurs at home (fall-risk item)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Alendronate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mg PO weekly (Sun 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Steroid-related osteoporosis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given inpatient (outpatient chronic)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weekly Sunday AM, upright 30 min fasting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Insulin glargine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units SC nightly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T2DM basal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Continued with downward inpatient adjustment (12→18 u); home dose reached HD6, glucose improving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Resume 18 units nightly (home dose).</w:t>
            </w:r>
            <w:r>
              <w:t xml:space="preserve"> </w:t>
            </w:r>
            <w:r>
              <w:t xml:space="preserve">See glycemic note — steroid/appetite changes may require outpatient retitration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Nitroglycerin 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 mg SL PRN chest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 rescue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Available; no doses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PRN; reinforce 911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Acetaminophen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 mg PO q6h PRN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Sparing PRN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PRN (preferred analgesic —</w:t>
            </w:r>
            <w:r>
              <w:t xml:space="preserve"> </w:t>
            </w:r>
            <w:r>
              <w:rPr>
                <w:bCs/>
                <w:b/>
              </w:rPr>
              <w:t xml:space="preserve">avoid NSAIDs</w:t>
            </w:r>
            <w:r>
              <w:t xml:space="preserve">, per Nephrology)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PEG 3350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g PO daily PRN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PRN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 mg PO nightly PRN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PRN</w:t>
            </w:r>
          </w:p>
        </w:tc>
      </w:tr>
    </w:tbl>
    <w:p>
      <w:pPr>
        <w:pStyle w:val="BodyText"/>
      </w:pPr>
      <w:r>
        <w:rPr>
          <w:iCs/>
          <w:i/>
        </w:rPr>
        <w:t xml:space="preserve">Non-medication chronic therapy:</w:t>
      </w:r>
      <w:r>
        <w:t xml:space="preserve"> </w:t>
      </w:r>
      <w:r>
        <w:t xml:space="preserve">home</w:t>
      </w:r>
      <w:r>
        <w:t xml:space="preserve"> </w:t>
      </w:r>
      <w:r>
        <w:rPr>
          <w:bCs/>
          <w:b/>
        </w:rPr>
        <w:t xml:space="preserve">CPAP</w:t>
      </w:r>
      <w:r>
        <w:t xml:space="preserve"> </w:t>
      </w:r>
      <w:r>
        <w:t xml:space="preserve">for OSA (adherence variable at baseline) — resume nightly; reinforce use.</w:t>
      </w:r>
    </w:p>
    <w:bookmarkEnd w:id="21"/>
    <w:bookmarkStart w:id="22" w:name="X2d9be3b9132c8dfd1e35c46db5d72a5f4590b51"/>
    <w:p>
      <w:pPr>
        <w:pStyle w:val="Heading3"/>
      </w:pPr>
      <w:r>
        <w:t xml:space="preserve">B. HELD WITH EXPLICIT RESTART PARAMETERS — staged cardiorenal sequence (do NOT auto-resume on 05/24)</w:t>
      </w:r>
    </w:p>
    <w:p>
      <w:pPr>
        <w:pStyle w:val="FirstParagraph"/>
      </w:pPr>
      <w:r>
        <w:t xml:space="preserve">All four were held throughout HD1–HD6 and</w:t>
      </w:r>
      <w:r>
        <w:t xml:space="preserve"> </w:t>
      </w:r>
      <w:r>
        <w:rPr>
          <w:bCs/>
          <w:b/>
        </w:rPr>
        <w:t xml:space="preserve">not restarted</w:t>
      </w:r>
      <w:r>
        <w:t xml:space="preserve"> </w:t>
      </w:r>
      <w:r>
        <w:t xml:space="preserve">as of the HD6 18:00 handoff. AKI has resolved by laboratory criteria, but Nephrology's documented position is that reserve achieved on a monitored floor is not equivalent to home reserve; Cardiology's documented position is that these agents must not lapse into permanent omission by inertia. The reconciled plan is a</w:t>
      </w:r>
      <w:r>
        <w:t xml:space="preserve"> </w:t>
      </w:r>
      <w:r>
        <w:rPr>
          <w:bCs/>
          <w:b/>
        </w:rPr>
        <w:t xml:space="preserve">single-agent-at-a-time restart owned by outpatient Cardiology/Nephrology at the 1–2 week visits</w:t>
      </w:r>
      <w:r>
        <w:t xml:space="preserve">, each gated on a check of the same parameters (BMP creatinine/eGFR + K⁺, standing/sitting BP, and home weight against the 97 kg dry weight). Recommended order and gates: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Gating parameters to 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owner / 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Sacubitril/valsartan</w:t>
            </w:r>
            <w:r>
              <w:t xml:space="preserve"> </w:t>
            </w:r>
            <w:r>
              <w:t xml:space="preserve">24/26 mg PO 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home 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SBP consistently ≥110 and asymptomatic; K⁺ ≤5.0; creatinine stable near baseline (≤~1.9) on a post-discharge BMP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Cardiology visit ≤2 wk (Nephrology concurrence); recheck BMP ~1 wk after restart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Empagliflozin</w:t>
            </w:r>
            <w:r>
              <w:t xml:space="preserve"> </w:t>
            </w:r>
            <w:r>
              <w:t xml:space="preserve">10 mg PO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home 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once eating/drinking reliably and euvolemic; hold on sick-days (SGLT2 sick-day rule); creatinine 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Cardiology/Endocrinology; after agent 1 tolerated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Spironolactone</w:t>
            </w:r>
            <w:r>
              <w:t xml:space="preserve"> </w:t>
            </w:r>
            <w:r>
              <w:t xml:space="preserve">25 mg PO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home 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K⁺ ≤4.8 and creatinine stable on repeat BMP;</w:t>
            </w:r>
            <w:r>
              <w:t xml:space="preserve"> </w:t>
            </w:r>
            <w:r>
              <w:rPr>
                <w:bCs/>
                <w:b/>
              </w:rPr>
              <w:t xml:space="preserve">only after</w:t>
            </w:r>
            <w:r>
              <w:t xml:space="preserve"> </w:t>
            </w:r>
            <w:r>
              <w:t xml:space="preserve">ARNI tolerated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Nephrology-gated; repeat K⁺ ~3–5 d after restart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Furosemide</w:t>
            </w:r>
            <w:r>
              <w:t xml:space="preserve"> </w:t>
            </w:r>
            <w:r>
              <w:t xml:space="preserve">40 mg PO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home 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</w:t>
            </w:r>
            <w:r>
              <w:t xml:space="preserve"> </w:t>
            </w:r>
            <w:r>
              <w:rPr>
                <w:bCs/>
                <w:b/>
              </w:rPr>
              <w:t xml:space="preserve">only if</w:t>
            </w:r>
            <w:r>
              <w:t xml:space="preserve"> </w:t>
            </w:r>
            <w:r>
              <w:t xml:space="preserve">volume reaccumulates — weight rising toward/above ~97 kg dry weight, rising edema, or orthopnea. Not indicated while euvolemic/volume-depleted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Cardiology/PCP; driven by daily home weights</w:t>
            </w:r>
          </w:p>
        </w:tc>
      </w:tr>
    </w:tbl>
    <w:p>
      <w:pPr>
        <w:pStyle w:val="BodyText"/>
      </w:pPr>
      <w:r>
        <w:t xml:space="preserve">Rationale for ordering: ARNI first restores the highest-value HFrEF mortality therapy the patient tolerates (ACE-I intolerant) under BP monitoring; SGLT2 next with sick-day holds; MRA third because it is the most potassium-sensitive; diuretic last and only if volume-driven, since he presented volume-depleted at his dry weight (not congested).</w:t>
      </w:r>
      <w:r>
        <w:t xml:space="preserve"> </w:t>
      </w:r>
      <w:r>
        <w:rPr>
          <w:bCs/>
          <w:b/>
        </w:rPr>
        <w:t xml:space="preserve">No more than one new cardiorenal agent should be reintroduced per monitored interval.</w:t>
      </w:r>
      <w:r>
        <w:t xml:space="preserve"> </w:t>
      </w:r>
      <w:r>
        <w:t xml:space="preserve">The discharge prescription should make the held status explicit so the patient/family do not restart these on their own.</w:t>
      </w:r>
    </w:p>
    <w:bookmarkEnd w:id="22"/>
    <w:bookmarkStart w:id="23" w:name="X52a42b0252938c27c0a700ddf71c9b27664308a"/>
    <w:p>
      <w:pPr>
        <w:pStyle w:val="Heading3"/>
      </w:pPr>
      <w:r>
        <w:t xml:space="preserve">C. INPATIENT-SPECIFIC — DO NOT CARRY FORWARD (no independent outpatient indication)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Therapy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Inpatient indication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0.9 % NaCl IV fluids / saline-lock flushes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Cautious volume repletion for AKI/prerenal physiology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Inpatient only — discontinue at discharge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Insulin</w:t>
            </w:r>
            <w:r>
              <w:t xml:space="preserve"> </w:t>
            </w:r>
            <w:r>
              <w:rPr>
                <w:bCs/>
                <w:b/>
              </w:rPr>
              <w:t xml:space="preserve">lispro</w:t>
            </w:r>
            <w:r>
              <w:t xml:space="preserve"> </w:t>
            </w:r>
            <w:r>
              <w:t xml:space="preserve">correctional sliding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Inpatient glycemic coverage during acute illness/steroid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Inpatient only —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an outpatient prescription (home regimen is basal glargine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Ceftriaxone 1 g IV q24h (HD1–HD3)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 urinary-source sepsis therapy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Inpatient only — completed/transitioned to oral</w:t>
            </w:r>
          </w:p>
        </w:tc>
      </w:tr>
    </w:tbl>
    <w:bookmarkEnd w:id="23"/>
    <w:bookmarkStart w:id="24" w:name="Xe79458d6f1596da767192a29e0526eace8fa82b"/>
    <w:p>
      <w:pPr>
        <w:pStyle w:val="Heading3"/>
      </w:pPr>
      <w:r>
        <w:t xml:space="preserve">D. ANTIBIOTIC DISPOSITION (resolves addendum focus item #6)</w:t>
      </w:r>
    </w:p>
    <w:p>
      <w:pPr>
        <w:pStyle w:val="FirstParagraph"/>
      </w:pPr>
      <w:r>
        <w:t xml:space="preserve">Ceftriaxone 1 g IV q24h HD1–HD3 (3 days) → oral step-down to</w:t>
      </w:r>
      <w:r>
        <w:t xml:space="preserve"> </w:t>
      </w:r>
      <w:r>
        <w:rPr>
          <w:bCs/>
          <w:b/>
        </w:rPr>
        <w:t xml:space="preserve">cefpodoxime 200 mg PO BID</w:t>
      </w:r>
      <w:r>
        <w:t xml:space="preserve"> </w:t>
      </w:r>
      <w:r>
        <w:t xml:space="preserve">from HD4 when culture speciation supported it. Clinical response is complete: afebrile since ~HD3, WBC 15.6 → 9.4, intake recovered. Counting inclusive days, a 7-day effective course (3 IV + 4 oral) is reached on the discharge day, 05/24/2026.</w:t>
      </w:r>
    </w:p>
    <w:p>
      <w:pPr>
        <w:pStyle w:val="BodyText"/>
      </w:pPr>
      <w:r>
        <w:rPr>
          <w:bCs/>
          <w:b/>
        </w:rPr>
        <w:t xml:space="preserve">Decision (b): continue cefpodoxime 200 mg PO BID to complete a 7-day total course, last dose the evening of 05/24/2026; NO ongoing outpatient antibiotic thereafter.</w:t>
      </w:r>
      <w:r>
        <w:t xml:space="preserve"> </w:t>
      </w:r>
      <w:r>
        <w:t xml:space="preserve">Rationale: a 7-day course is appropriate for a treated complicated-UTI/urinary-source infection in a male with diabetes and CKD who responded promptly; the patient will finish on the day of discharge, so he should be given/confirmed enough cefpodoxime to take the 05/24 doses and then stop. No antibiotic is carried into the ambulatory regimen. (If the discharging team prefers a longer complicated-UTI target, the only change is to extend cefpodoxime 200 mg PO BID to a named stop date — e.g., through 05/27/2026 for a 10-day total — with a completion reminder to the family; this alternative is noted for the co-signers.)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498979632f85f52254b10cc401290dd2a85791b"/>
    <w:p>
      <w:pPr>
        <w:pStyle w:val="Heading2"/>
      </w:pPr>
      <w:r>
        <w:t xml:space="preserve">PREDNISONE RECONCILIATION (addendum focus item #2)</w:t>
      </w:r>
    </w:p>
    <w:p>
      <w:pPr>
        <w:pStyle w:val="FirstParagraph"/>
      </w:pPr>
      <w:r>
        <w:rPr>
          <w:bCs/>
          <w:b/>
        </w:rPr>
        <w:t xml:space="preserve">Provenance across sources: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Rheumatology intent (Halvek, authoritative for PMR):</w:t>
      </w:r>
      <w:r>
        <w:t xml:space="preserve"> </w:t>
      </w:r>
      <w:r>
        <w:t xml:space="preserve">cautious</w:t>
      </w:r>
      <w:r>
        <w:t xml:space="preserve"> </w:t>
      </w:r>
      <w:r>
        <w:rPr>
          <w:bCs/>
          <w:b/>
        </w:rPr>
        <w:t xml:space="preserve">slow taper</w:t>
      </w:r>
      <w:r>
        <w:t xml:space="preserve"> </w:t>
      </w:r>
      <w:r>
        <w:t xml:space="preserve">while symptoms controlled;</w:t>
      </w:r>
      <w:r>
        <w:t xml:space="preserve"> </w:t>
      </w:r>
      <w:r>
        <w:rPr>
          <w:bCs/>
          <w:b/>
        </w:rPr>
        <w:t xml:space="preserve">avoid abrupt discontinuation;</w:t>
      </w:r>
      <w:r>
        <w:t xml:space="preserve"> </w:t>
      </w:r>
      <w:r>
        <w:t xml:space="preserve">no numeric dose stated — the note explicitly defers to the pharmacy fill history / active e-prescription as the operative record of what was most recently</w:t>
      </w:r>
      <w:r>
        <w:t xml:space="preserve"> </w:t>
      </w:r>
      <w:r>
        <w:rPr>
          <w:iCs/>
          <w:i/>
        </w:rPr>
        <w:t xml:space="preserve">written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Pharmacy fill history (operative written record):</w:t>
      </w:r>
      <w:r>
        <w:t xml:space="preserve"> </w:t>
      </w:r>
      <w:r>
        <w:t xml:space="preserve">trajectory 10 mg daily (11/2025–01/2026) →</w:t>
      </w:r>
      <w:r>
        <w:t xml:space="preserve"> </w:t>
      </w:r>
      <w:r>
        <w:rPr>
          <w:bCs/>
          <w:b/>
        </w:rPr>
        <w:t xml:space="preserve">5 mg</w:t>
      </w:r>
      <w:r>
        <w:t xml:space="preserve"> </w:t>
      </w:r>
      <w:r>
        <w:t xml:space="preserve">(new Rx 02/20/2026) → "½ tablet daily" =</w:t>
      </w:r>
      <w:r>
        <w:t xml:space="preserve"> </w:t>
      </w:r>
      <w:r>
        <w:rPr>
          <w:bCs/>
          <w:b/>
        </w:rPr>
        <w:t xml:space="preserve">2.5 mg</w:t>
      </w:r>
      <w:r>
        <w:t xml:space="preserve"> </w:t>
      </w:r>
      <w:r>
        <w:t xml:space="preserve">(03/22/2026) → 5 mg "decrease per schedule" (04/21/2026) →</w:t>
      </w:r>
      <w:r>
        <w:t xml:space="preserve"> </w:t>
      </w:r>
      <w:r>
        <w:rPr>
          <w:bCs/>
          <w:b/>
        </w:rPr>
        <w:t xml:space="preserve">most recent 05/06/2026: 5 mg tablets, "taper per provider instructions," 2 refills.</w:t>
      </w:r>
      <w:r>
        <w:t xml:space="preserve"> </w:t>
      </w:r>
      <w:r>
        <w:t xml:space="preserve">Two strengths (10 mg, 5 mg) and changing/overlapping label directions were in circulation.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Patient/family:</w:t>
      </w:r>
      <w:r>
        <w:t xml:space="preserve"> </w:t>
      </w:r>
      <w:r>
        <w:t xml:space="preserve">internally inconsistent; "still on a little," "might have been tapering"; bottle labels may not match actual use; recent home-administration errors documented.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Endocrinology:</w:t>
      </w:r>
      <w:r>
        <w:t xml:space="preserve"> </w:t>
      </w:r>
      <w:r>
        <w:t xml:space="preserve">no Cushingoid or adrenal-insufficiency findings; adrenal insufficiency</w:t>
      </w:r>
      <w:r>
        <w:t xml:space="preserve"> </w:t>
      </w:r>
      <w:r>
        <w:rPr>
          <w:bCs/>
          <w:b/>
        </w:rPr>
        <w:t xml:space="preserve">NOT established</w:t>
      </w:r>
      <w:r>
        <w:t xml:space="preserve"> </w:t>
      </w:r>
      <w:r>
        <w:t xml:space="preserve">but chronic exposure is a real risk substrate;</w:t>
      </w:r>
      <w:r>
        <w:t xml:space="preserve"> </w:t>
      </w:r>
      <w:r>
        <w:rPr>
          <w:bCs/>
          <w:b/>
        </w:rPr>
        <w:t xml:space="preserve">do not invent a new long-term dose from the inpatient record; do not stop abruptly;</w:t>
      </w:r>
      <w:r>
        <w:t xml:space="preserve"> </w:t>
      </w:r>
      <w:r>
        <w:t xml:space="preserve">finalize taper with Rheumatology as an outpatient.</w:t>
      </w:r>
    </w:p>
    <w:p>
      <w:pPr>
        <w:pStyle w:val="FirstParagraph"/>
      </w:pPr>
      <w:r>
        <w:rPr>
          <w:bCs/>
          <w:b/>
        </w:rPr>
        <w:t xml:space="preserve">Reconciled discharge handling:</w:t>
      </w:r>
      <w:r>
        <w:t xml:space="preserve"> </w:t>
      </w:r>
      <w:r>
        <w:t xml:space="preserve">The most recently</w:t>
      </w:r>
      <w:r>
        <w:t xml:space="preserve"> </w:t>
      </w:r>
      <w:r>
        <w:rPr>
          <w:iCs/>
          <w:i/>
        </w:rPr>
        <w:t xml:space="preserve">written</w:t>
      </w:r>
      <w:r>
        <w:t xml:space="preserve"> </w:t>
      </w:r>
      <w:r>
        <w:t xml:space="preserve">outpatient prescription is</w:t>
      </w:r>
      <w:r>
        <w:t xml:space="preserve"> </w:t>
      </w:r>
      <w:r>
        <w:rPr>
          <w:bCs/>
          <w:b/>
        </w:rPr>
        <w:t xml:space="preserve">prednisone 5 mg tablets on a cautious taper (≈2.5–5 mg/day range)</w:t>
      </w:r>
      <w:r>
        <w:t xml:space="preserve">; the exact dose actually taken in the days before admission is</w:t>
      </w:r>
      <w:r>
        <w:t xml:space="preserve"> </w:t>
      </w:r>
      <w:r>
        <w:rPr>
          <w:bCs/>
          <w:b/>
        </w:rPr>
        <w:t xml:space="preserve">not verifiable</w:t>
      </w:r>
      <w:r>
        <w:t xml:space="preserve"> </w:t>
      </w:r>
      <w:r>
        <w:t xml:space="preserve">and is not asserted here. Inpatient prednisone was interim stress-range coverage, not a re-baselining of the home dose. Recommended action:</w:t>
      </w:r>
      <w:r>
        <w:t xml:space="preserve"> </w:t>
      </w:r>
      <w:r>
        <w:rPr>
          <w:bCs/>
          <w:b/>
        </w:rPr>
        <w:t xml:space="preserve">discharge on a single, unambiguous interim dose of prednisone 5 mg PO once daily</w:t>
      </w:r>
      <w:r>
        <w:t xml:space="preserve">, continued without interruption,</w:t>
      </w:r>
      <w:r>
        <w:t xml:space="preserve"> </w:t>
      </w:r>
      <w:r>
        <w:rPr>
          <w:bCs/>
          <w:b/>
        </w:rPr>
        <w:t xml:space="preserve">explicitly bridging only until the Rheumatology visit (within 2–4 weeks)</w:t>
      </w:r>
      <w:r>
        <w:t xml:space="preserve">, where Dr. Halvek sets the definitive taper. Write the new prescription so it</w:t>
      </w:r>
      <w:r>
        <w:t xml:space="preserve"> </w:t>
      </w:r>
      <w:r>
        <w:rPr>
          <w:bCs/>
          <w:b/>
        </w:rPr>
        <w:t xml:space="preserve">supersedes all older bottles</w:t>
      </w:r>
      <w:r>
        <w:t xml:space="preserve">, and instruct the family to</w:t>
      </w:r>
      <w:r>
        <w:t xml:space="preserve"> </w:t>
      </w:r>
      <w:r>
        <w:rPr>
          <w:bCs/>
          <w:b/>
        </w:rPr>
        <w:t xml:space="preserve">remove/quarantine every prior prednisone bottle</w:t>
      </w:r>
      <w:r>
        <w:t xml:space="preserve"> </w:t>
      </w:r>
      <w:r>
        <w:t xml:space="preserve">to eliminate the conflicting-label hazard. This avoids both abrupt discontinuation (adrenal/PMR-flare risk) and perpetuating an unverified taper. Endocrinology follow-up 2–4 weeks coordinates with Rheumatology; sick-day/stress-dose guidance below.</w:t>
      </w:r>
    </w:p>
    <w:p>
      <w:r>
        <w:pict>
          <v:rect style="width:0;height:1.5pt" o:hralign="center" o:hrstd="t" o:hr="t"/>
        </w:pict>
      </w:r>
    </w:p>
    <w:bookmarkEnd w:id="26"/>
    <w:bookmarkStart w:id="27" w:name="X55dd71bd72468b17625fa62694eedb53448c5b3"/>
    <w:p>
      <w:pPr>
        <w:pStyle w:val="Heading2"/>
      </w:pPr>
      <w:r>
        <w:t xml:space="preserve">POST-DISCHARGE RENAL &amp; CARDIAC MONITORING PLAN (addendum focus item #5)</w:t>
      </w:r>
    </w:p>
    <w:p>
      <w:pPr>
        <w:pStyle w:val="FirstParagraph"/>
      </w:pPr>
      <w:r>
        <w:t xml:space="preserve">No scheduled monitoring plan existed at HD6; the following is proposed for the co-signers to order: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Labs:</w:t>
      </w:r>
      <w:r>
        <w:t xml:space="preserve"> </w:t>
      </w:r>
      <w:r>
        <w:t xml:space="preserve">BMP (creatinine/eGFR</w:t>
      </w:r>
      <w:r>
        <w:t xml:space="preserve"> </w:t>
      </w:r>
      <w:r>
        <w:rPr>
          <w:bCs/>
          <w:b/>
        </w:rPr>
        <w:t xml:space="preserve">and potassium</w:t>
      </w:r>
      <w:r>
        <w:t xml:space="preserve">) at</w:t>
      </w:r>
      <w:r>
        <w:t xml:space="preserve"> </w:t>
      </w:r>
      <w:r>
        <w:rPr>
          <w:bCs/>
          <w:b/>
        </w:rPr>
        <w:t xml:space="preserve">Mercy Vale Outpatient Laboratory – Harbor Crest, (412) 555-0455</w:t>
      </w:r>
      <w:r>
        <w:t xml:space="preserve">, drawn</w:t>
      </w:r>
      <w:r>
        <w:t xml:space="preserve"> </w:t>
      </w:r>
      <w:r>
        <w:rPr>
          <w:bCs/>
          <w:b/>
        </w:rPr>
        <w:t xml:space="preserve">3–5 days after discharge</w:t>
      </w:r>
      <w:r>
        <w:t xml:space="preserve"> </w:t>
      </w:r>
      <w:r>
        <w:t xml:space="preserve">(≈05/27–05/29) and again with/just before each cardiorenal restart; repeat K⁺ ~3–5 days after any MRA or ARNI restart.</w:t>
      </w:r>
      <w:r>
        <w:t xml:space="preserve"> </w:t>
      </w:r>
      <w:r>
        <w:rPr>
          <w:bCs/>
          <w:b/>
        </w:rPr>
        <w:t xml:space="preserve">Result routing:</w:t>
      </w:r>
      <w:r>
        <w:t xml:space="preserve"> </w:t>
      </w:r>
      <w:r>
        <w:t xml:space="preserve">faxed to PCP (Quenor) as primary actor, with Nephrology (Solthar) and Cardiology (Caldrane) copied; whoever initiates a restart owns the follow-up value.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Home weight:</w:t>
      </w:r>
      <w:r>
        <w:t xml:space="preserve"> </w:t>
      </w:r>
      <w:r>
        <w:t xml:space="preserve">daily AM weight against</w:t>
      </w:r>
      <w:r>
        <w:t xml:space="preserve"> </w:t>
      </w:r>
      <w:r>
        <w:rPr>
          <w:bCs/>
          <w:b/>
        </w:rPr>
        <w:t xml:space="preserve">97 kg dry weight</w:t>
      </w:r>
      <w:r>
        <w:t xml:space="preserve">; call the care team for a gain of</w:t>
      </w:r>
      <w:r>
        <w:t xml:space="preserve"> </w:t>
      </w:r>
      <w:r>
        <w:rPr>
          <w:bCs/>
          <w:b/>
        </w:rPr>
        <w:t xml:space="preserve">≥2 kg (≈4–5 lb) in 2–3 days</w:t>
      </w:r>
      <w:r>
        <w:t xml:space="preserve"> </w:t>
      </w:r>
      <w:r>
        <w:t xml:space="preserve">or new orthopnea/edema (diuretic-restart trigger).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Blood pressure:</w:t>
      </w:r>
      <w:r>
        <w:t xml:space="preserve"> </w:t>
      </w:r>
      <w:r>
        <w:t xml:space="preserve">home BP/HR check;</w:t>
      </w:r>
      <w:r>
        <w:t xml:space="preserve"> </w:t>
      </w:r>
      <w:r>
        <w:rPr>
          <w:bCs/>
          <w:b/>
        </w:rPr>
        <w:t xml:space="preserve">call before taking the dose</w:t>
      </w:r>
      <w:r>
        <w:t xml:space="preserve"> </w:t>
      </w:r>
      <w:r>
        <w:t xml:space="preserve">if</w:t>
      </w:r>
      <w:r>
        <w:t xml:space="preserve"> </w:t>
      </w:r>
      <w:r>
        <w:rPr>
          <w:bCs/>
          <w:b/>
        </w:rPr>
        <w:t xml:space="preserve">SBP &lt;100</w:t>
      </w:r>
      <w:r>
        <w:t xml:space="preserve"> </w:t>
      </w:r>
      <w:r>
        <w:t xml:space="preserve">or symptomatic lightheadedness; hold carvedilol per parameters above. Given the admission near-fall and orthostatic vulnerability (Morse 65), check sitting-then-standing when feasible.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Glucose:</w:t>
      </w:r>
      <w:r>
        <w:t xml:space="preserve"> </w:t>
      </w:r>
      <w:r>
        <w:t xml:space="preserve">continue home monitoring; expect downward drift as illness/steroid effect resolves — report recurrent lows to PCP/Endocrinology for glargine retitration.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Logistics caveat:</w:t>
      </w:r>
      <w:r>
        <w:t xml:space="preserve"> </w:t>
      </w:r>
      <w:r>
        <w:t xml:space="preserve">outpatient lab transport and first-fill pickup (Harbor Crest Community Pharmacy) are</w:t>
      </w:r>
      <w:r>
        <w:t xml:space="preserve"> </w:t>
      </w:r>
      <w:r>
        <w:rPr>
          <w:bCs/>
          <w:b/>
        </w:rPr>
        <w:t xml:space="preserve">unconfirmed per Case Management</w:t>
      </w:r>
      <w:r>
        <w:t xml:space="preserve"> </w:t>
      </w:r>
      <w:r>
        <w:t xml:space="preserve">— confirm transportation and that labs are actually drawn, since the whole restart sequence depends on them.</w:t>
      </w:r>
    </w:p>
    <w:p>
      <w:pPr>
        <w:pStyle w:val="FirstParagraph"/>
      </w:pPr>
      <w:r>
        <w:rPr>
          <w:bCs/>
          <w:b/>
        </w:rPr>
        <w:t xml:space="preserve">Follow-up appointments (from the plan):</w:t>
      </w:r>
      <w:r>
        <w:t xml:space="preserve"> </w:t>
      </w:r>
      <w:r>
        <w:t xml:space="preserve">PCP Quenor ≤7 days; Nephrology Solthar 1–2 wk; Cardiology Caldrane ≤2 wk (restart titration); Endocrinology Veylorn 2–4 wk (taper + glycemic); Rheumatology Halvek 2–4 wk (definitive prednisone taper).</w:t>
      </w:r>
    </w:p>
    <w:p>
      <w:r>
        <w:pict>
          <v:rect style="width:0;height:1.5pt" o:hralign="center" o:hrstd="t" o:hr="t"/>
        </w:pict>
      </w:r>
    </w:p>
    <w:bookmarkEnd w:id="27"/>
    <w:bookmarkStart w:id="28" w:name="X6a3a19e1340ae50e8aed9c1b474ee6d1ec485b8"/>
    <w:p>
      <w:pPr>
        <w:pStyle w:val="Heading2"/>
      </w:pPr>
      <w:r>
        <w:t xml:space="preserve">HOME MEDICATION-MANAGEMENT SAFETY PLAN (addendum focus item #4 / request #5)</w:t>
      </w:r>
    </w:p>
    <w:p>
      <w:pPr>
        <w:pStyle w:val="FirstParagraph"/>
      </w:pPr>
      <w:r>
        <w:t xml:space="preserve">Drawn from OT (reproducible errors organizing the 19-item regimen — BID-timing and PRN-vs-scheduled confusion, could not state the prednisone taper, does not self-detect errors), nursing (repeatedly unsure whether doses were taken; intermittent evening confusion persisting through HD6 on complex questions), PT (high fall risk, orthostatic vulnerability), and the PCP baseline (this degree of disorganization/evening confusion is a</w:t>
      </w:r>
      <w:r>
        <w:t xml:space="preserve"> </w:t>
      </w:r>
      <w:r>
        <w:rPr>
          <w:bCs/>
          <w:b/>
        </w:rPr>
        <w:t xml:space="preserve">deviation from baseline</w:t>
      </w:r>
      <w:r>
        <w:t xml:space="preserve">, not his normal):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Pre-filled weekly pill organizer</w:t>
      </w:r>
      <w:r>
        <w:t xml:space="preserve">; filling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Korvin's sole responsibility during the early weeks. Family (Mara, with Lenora on weekends) verifies each fill.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Family supervision at medication times for the first 5–7 days</w:t>
      </w:r>
      <w:r>
        <w:t xml:space="preserve">, including confirming the dose was actually taken (he often cannot recall). Note the coverage gap:</w:t>
      </w:r>
      <w:r>
        <w:t xml:space="preserve"> </w:t>
      </w:r>
      <w:r>
        <w:rPr>
          <w:bCs/>
          <w:b/>
        </w:rPr>
        <w:t xml:space="preserve">Lenora cannot reliably cover weekday mornings</w:t>
      </w:r>
      <w:r>
        <w:t xml:space="preserve"> </w:t>
      </w:r>
      <w:r>
        <w:t xml:space="preserve">— confirm who covers AM doses before discharge.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Single reconciled written medication list</w:t>
      </w:r>
      <w:r>
        <w:t xml:space="preserve"> </w:t>
      </w:r>
      <w:r>
        <w:t xml:space="preserve">leaving the building — one page showing what is continued, what is held and who restarts it, the interim prednisone, basal-insulin-only (no sliding scale at home), and that the antibiotic stops after 05/24. Remove/quarantine all superseded bottles, especially old prednisone.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Home health nursing</w:t>
      </w:r>
      <w:r>
        <w:t xml:space="preserve"> </w:t>
      </w:r>
      <w:r>
        <w:t xml:space="preserve">(Keystone HomeCare candidate, acceptance pending) for early medication review/monitoring — prioritize confirmation given the documented capacity gap.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Fall-risk/med-safety overlap:</w:t>
      </w:r>
      <w:r>
        <w:t xml:space="preserve"> </w:t>
      </w:r>
      <w:r>
        <w:t xml:space="preserve">rolling walker, bedside commode (evening confusion), grab bars, remove loose rugs; reassess sedating/BP-lowering agents if evening confusion or lightheadedness recurs.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Outpatient OT</w:t>
      </w:r>
      <w:r>
        <w:t xml:space="preserve"> </w:t>
      </w:r>
      <w:r>
        <w:t xml:space="preserve">referral if medication-management performance has not progressed by +30 days.</w:t>
      </w:r>
    </w:p>
    <w:p>
      <w:r>
        <w:pict>
          <v:rect style="width:0;height:1.5pt" o:hralign="center" o:hrstd="t" o:hr="t"/>
        </w:pict>
      </w:r>
    </w:p>
    <w:bookmarkEnd w:id="28"/>
    <w:bookmarkStart w:id="29" w:name="X4f75490d4dc2ddf24e321739897fa843e0d4afe"/>
    <w:p>
      <w:pPr>
        <w:pStyle w:val="Heading2"/>
      </w:pPr>
      <w:r>
        <w:t xml:space="preserve">TEACH-BACK RECOMMENDATIONS — patient + primary caregiver (request #6)</w:t>
      </w:r>
    </w:p>
    <w:p>
      <w:pPr>
        <w:pStyle w:val="FirstParagraph"/>
      </w:pPr>
      <w:r>
        <w:t xml:space="preserve">Conduct with</w:t>
      </w:r>
      <w:r>
        <w:t xml:space="preserve"> </w:t>
      </w:r>
      <w:r>
        <w:rPr>
          <w:bCs/>
          <w:b/>
        </w:rPr>
        <w:t xml:space="preserve">Mara Merrow (wife/proxy)</w:t>
      </w:r>
      <w:r>
        <w:t xml:space="preserve"> </w:t>
      </w:r>
      <w:r>
        <w:t xml:space="preserve">present (Lenora by phone); confirm understanding at the session</w:t>
      </w:r>
      <w:r>
        <w:t xml:space="preserve"> </w:t>
      </w:r>
      <w:r>
        <w:rPr>
          <w:bCs/>
          <w:b/>
        </w:rPr>
        <w:t xml:space="preserve">and again 24 hours later</w:t>
      </w:r>
      <w:r>
        <w:t xml:space="preserve"> </w:t>
      </w:r>
      <w:r>
        <w:t xml:space="preserve">(per OT). Directly answer the family's five recorded pre-discharge questions. Use teach-back (have them restate in their own words) for each: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Changed / resumed items:</w:t>
      </w:r>
      <w:r>
        <w:t xml:space="preserve"> </w:t>
      </w:r>
      <w:r>
        <w:t xml:space="preserve">carvedilol is back at home dose (12.5 mg BID) — do not stop abruptly; gabapentin back to 300 mg (watch evening sedation); glargine back to 18 units nightly.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Held-and-not-yet-restarted (the "heart &amp; kidney pills explained together"):</w:t>
      </w:r>
      <w:r>
        <w:t xml:space="preserve"> </w:t>
      </w:r>
      <w:r>
        <w:t xml:space="preserve">sacubitril/valsartan, spironolactone, empagliflozin, furosemide are</w:t>
      </w:r>
      <w:r>
        <w:t xml:space="preserve"> </w:t>
      </w:r>
      <w:r>
        <w:rPr>
          <w:bCs/>
          <w:b/>
        </w:rPr>
        <w:t xml:space="preserve">intentionally held</w:t>
      </w:r>
      <w:r>
        <w:t xml:space="preserve"> </w:t>
      </w:r>
      <w:r>
        <w:t xml:space="preserve">and will be</w:t>
      </w:r>
      <w:r>
        <w:t xml:space="preserve"> </w:t>
      </w:r>
      <w:r>
        <w:rPr>
          <w:bCs/>
          <w:b/>
        </w:rPr>
        <w:t xml:space="preserve">restarted one at a time by the heart/kidney doctors after lab checks</w:t>
      </w:r>
      <w:r>
        <w:t xml:space="preserve"> </w:t>
      </w:r>
      <w:r>
        <w:t xml:space="preserve">— the family should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restart them on their own. Teach the weight, BP, and "call-first if SBP &lt;100" triggers.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Prednisone:</w:t>
      </w:r>
      <w:r>
        <w:t xml:space="preserve"> </w:t>
      </w:r>
      <w:r>
        <w:t xml:space="preserve">take the one new 5 mg daily tablet only,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stop it on your own, throw away all old prednisone bottles, and the rheumatologist will set the final taper. Stress: if he gets a fever, persistent vomiting, or significant dehydration,</w:t>
      </w:r>
      <w:r>
        <w:t xml:space="preserve"> </w:t>
      </w:r>
      <w:r>
        <w:rPr>
          <w:bCs/>
          <w:b/>
        </w:rPr>
        <w:t xml:space="preserve">call before changing or stopping the steroid</w:t>
      </w:r>
      <w:r>
        <w:t xml:space="preserve"> </w:t>
      </w:r>
      <w:r>
        <w:t xml:space="preserve">(stress-dose/sick-day reasoning).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Glycemic regimen:</w:t>
      </w:r>
      <w:r>
        <w:t xml:space="preserve"> </w:t>
      </w:r>
      <w:r>
        <w:t xml:space="preserve">nightly glargine only at home (the hospital mealtime insulin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go home); check sugars; report lows.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Antibiotic:</w:t>
      </w:r>
      <w:r>
        <w:t xml:space="preserve"> </w:t>
      </w:r>
      <w:r>
        <w:t xml:space="preserve">finish cefpodoxime through the 05/24 evening dose, then stop; no new antibiotic.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Warning signs → who to call:</w:t>
      </w:r>
      <w:r>
        <w:t xml:space="preserve"> </w:t>
      </w:r>
      <w:r>
        <w:t xml:space="preserve">worsening weakness, new/worse confusion, recurrent lightheadedness or near-fall, chest pain, shortness of breath, weight gain ≥2 kg in 2–3 days, swelling, or decreased intake. Routine concerns → PCP/relevant specialist; chest pain/SOS/severe symptoms → 911 or ED, (412) 555-0150.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Supervision expectation:</w:t>
      </w:r>
      <w:r>
        <w:t xml:space="preserve"> </w:t>
      </w:r>
      <w:r>
        <w:t xml:space="preserve">who covers medication times, overnight, and ambulation for the first 5–7 days — resolve the weekday-morning gap explicitly.</w:t>
      </w:r>
    </w:p>
    <w:p>
      <w:r>
        <w:pict>
          <v:rect style="width:0;height:1.5pt" o:hralign="center" o:hrstd="t" o:hr="t"/>
        </w:pict>
      </w:r>
    </w:p>
    <w:bookmarkEnd w:id="29"/>
    <w:bookmarkStart w:id="30" w:name="co-signature"/>
    <w:p>
      <w:pPr>
        <w:pStyle w:val="Heading2"/>
      </w:pPr>
      <w:r>
        <w:t xml:space="preserve">CO-SIGNATURE</w:t>
      </w:r>
    </w:p>
    <w:p>
      <w:pPr>
        <w:pStyle w:val="FirstParagraph"/>
      </w:pPr>
      <w:r>
        <w:t xml:space="preserve">This reconciliation integrates all relevant inpatient sources. No cardiorenal agent is declared unilaterally safe to resume at the moment of discharge; the staged, parameter-gated outpatient sequence above reflects the Cardiology–Nephrology synthesis assigned to the hospitalist. Prednisone is reconciled to an interim 5 mg daily bridge pending Rheumatology; no unverified home dose is asserted. Release with discharge paperwork only after both signatures.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Reviewing Pharmacist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Ezekiel Marlott, PharmD, BCPS — Inpatient Pharmacy / Medication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Covering Hospitalist of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 (covering for Elian Vossmere, MD), Hospital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</w:tr>
    </w:tbl>
    <w:p>
      <w:pPr>
        <w:pStyle w:val="BodyText"/>
      </w:pPr>
      <w:r>
        <w:rPr>
          <w:iCs/>
          <w:i/>
        </w:rPr>
        <w:t xml:space="preserve">Pharmacy (412) 555-0170 · Hospital Medicine pager (412) 555-0301. Prepared 05/24/2026.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2026-06-06T01:23:03Z</dcterms:created>
  <dcterms:modified xsi:type="dcterms:W3CDTF">2026-06-06T01:23:03Z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