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05/24/2026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5 West Medical, Room 5W-318</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Elian Vossmere,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Hospital Medicine</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Discharge Readiness Assessment</w:t>
            </w:r>
          </w:p>
        </w:tc>
      </w:tr>
    </w:tbl>
    <w:p/>
    <w:p>
      <w:r>
        <w:rPr>
          <w:rFonts w:ascii="Arial" w:hAnsi="Arial"/>
          <w:b/>
          <w:i w:val="0"/>
          <w:color w:val="1F3864"/>
          <w:sz w:val="28"/>
        </w:rPr>
        <w:t>DISCHARGE READINESS ASSESSMENT</w:t>
      </w:r>
    </w:p>
    <w:p>
      <w:r>
        <w:rPr>
          <w:rFonts w:ascii="Arial" w:hAnsi="Arial"/>
          <w:b w:val="0"/>
          <w:i w:val="0"/>
          <w:color w:val="5E6670"/>
          <w:sz w:val="16"/>
        </w:rPr>
        <w:t>Author: Elian Vossmere, MD  |  Department: Hospital Medicine  |  05/24/2026  |  Status: Signed</w:t>
      </w:r>
    </w:p>
    <w:p>
      <w:pPr>
        <w:spacing w:before="180" w:after="60"/>
        <w:pBdr>
          <w:bottom w:val="single" w:sz="6" w:color="C9D4EA" w:space="2"/>
        </w:pBdr>
      </w:pPr>
      <w:r>
        <w:rPr>
          <w:rFonts w:ascii="Arial" w:hAnsi="Arial"/>
          <w:b/>
          <w:i w:val="0"/>
          <w:color w:val="4472C4"/>
          <w:sz w:val="20"/>
        </w:rPr>
        <w:t>ASSESSMENT SUMMARY</w:t>
      </w:r>
    </w:p>
    <w:p>
      <w:r>
        <w:rPr>
          <w:rFonts w:ascii="Arial" w:hAnsi="Arial"/>
          <w:b w:val="0"/>
          <w:i w:val="0"/>
          <w:color w:val="232830"/>
          <w:sz w:val="19"/>
        </w:rPr>
        <w:t>Korvin is medically improved, and it is reasonable for the primary team to be actively discussing discharge planning. That is not the same as the chart proving he is ready for discharge without further reconciliation. My assessment is that discharge readiness is conditional: home discharge is defensible only if the open functional, medication, and care-coordination items are completed and confirmed before discharge order entry.</w:t>
      </w:r>
    </w:p>
    <w:p>
      <w:pPr>
        <w:spacing w:before="180" w:after="60"/>
        <w:pBdr>
          <w:bottom w:val="single" w:sz="6" w:color="C9D4EA" w:space="2"/>
        </w:pBdr>
      </w:pPr>
      <w:r>
        <w:rPr>
          <w:rFonts w:ascii="Arial" w:hAnsi="Arial"/>
          <w:b/>
          <w:i w:val="0"/>
          <w:color w:val="4472C4"/>
          <w:sz w:val="20"/>
        </w:rPr>
        <w:t>MEDICAL IMPROVEMENT</w:t>
      </w:r>
    </w:p>
    <w:p>
      <w:r>
        <w:rPr>
          <w:rFonts w:ascii="Arial" w:hAnsi="Arial"/>
          <w:b w:val="0"/>
          <w:i w:val="0"/>
          <w:color w:val="232830"/>
          <w:sz w:val="19"/>
        </w:rPr>
        <w:t>The supporting medical facts are real: he is afebrile or trending favorably, leukocytosis has improved, creatinine has moved back toward his CKD stage 3 baseline, potassium has improved, oral intake and alertness are better, and he is participating with therapy, nursing, consultants, family, and case management. These facts make discharge planning plausible.</w:t>
      </w:r>
    </w:p>
    <w:p>
      <w:pPr>
        <w:spacing w:before="180" w:after="60"/>
        <w:pBdr>
          <w:bottom w:val="single" w:sz="6" w:color="C9D4EA" w:space="2"/>
        </w:pBdr>
      </w:pPr>
      <w:r>
        <w:rPr>
          <w:rFonts w:ascii="Arial" w:hAnsi="Arial"/>
          <w:b/>
          <w:i w:val="0"/>
          <w:color w:val="4472C4"/>
          <w:sz w:val="20"/>
        </w:rPr>
        <w:t>RESIDUAL FUNCTIONAL AND MEDICATION-MANAGEMENT RISK</w:t>
      </w:r>
    </w:p>
    <w:p>
      <w:r>
        <w:rPr>
          <w:rFonts w:ascii="Arial" w:hAnsi="Arial"/>
          <w:b w:val="0"/>
          <w:i w:val="0"/>
          <w:color w:val="232830"/>
          <w:sz w:val="19"/>
        </w:rPr>
        <w:t>The main residual risk is operational and functional, not simply still being ill. Before admission he was slower but generally independent with basic self-care, used a cane intermittently, and had family oversight for complex medications. Across HD3 to HD6, nursing, PT, OT, and family describe a patient who is improving but not clearly back to that baseline: he still needs cueing with transfers and safety behaviors, fatigues with clustered activity, is less steady with turns or divided attention, and has difficulty explaining medication changes and the recent prednisone history. OT specifically flags medication-management risk if the regimen changes without family integration, and PT documents a Morse score of 65 with a rolling walker and supervised mobility for the early days at home.</w:t>
      </w:r>
    </w:p>
    <w:p>
      <w:pPr>
        <w:spacing w:before="180" w:after="60"/>
        <w:pBdr>
          <w:bottom w:val="single" w:sz="6" w:color="C9D4EA" w:space="2"/>
        </w:pBdr>
      </w:pPr>
      <w:r>
        <w:rPr>
          <w:rFonts w:ascii="Arial" w:hAnsi="Arial"/>
          <w:b/>
          <w:i w:val="0"/>
          <w:color w:val="4472C4"/>
          <w:sz w:val="20"/>
        </w:rPr>
        <w:t>FAMILY AND CARE-COORDINATION CONTEXT</w:t>
      </w:r>
    </w:p>
    <w:p>
      <w:r>
        <w:rPr>
          <w:rFonts w:ascii="Arial" w:hAnsi="Arial"/>
          <w:b w:val="0"/>
          <w:i w:val="0"/>
          <w:color w:val="232830"/>
          <w:sz w:val="19"/>
        </w:rPr>
        <w:t>Family concern is baseline-specific rather than oppositional. Mara recognizes Korvin is better than on arrival but worries he remains less organized, more fatigued, and less reliable for medication timing than usual, which is consistent with nursing and therapy documentation. It must be reconciled before the plan is finalized. The discharge-facing snapshot is reassuring but incomplete: it identifies the correct domains to finish, including final medication reconciliation, family education, therapy and nursing input, assistive-device plan, supervision expectations, home services or outpatient therapy, transportation, follow-up, and final attending review, but it does not itself complete them or authorize discharge.</w:t>
      </w:r>
    </w:p>
    <w:p>
      <w:pPr>
        <w:spacing w:before="180" w:after="60"/>
        <w:pBdr>
          <w:bottom w:val="single" w:sz="6" w:color="C9D4EA" w:space="2"/>
        </w:pBdr>
      </w:pPr>
      <w:r>
        <w:rPr>
          <w:rFonts w:ascii="Arial" w:hAnsi="Arial"/>
          <w:b/>
          <w:i w:val="0"/>
          <w:color w:val="4472C4"/>
          <w:sz w:val="20"/>
        </w:rPr>
        <w:t>REVIEW OF THE CASE-MANAGEMENT CLEARANCE</w:t>
      </w:r>
    </w:p>
    <w:p>
      <w:r>
        <w:rPr>
          <w:rFonts w:ascii="Arial" w:hAnsi="Arial"/>
          <w:b w:val="0"/>
          <w:i w:val="0"/>
          <w:color w:val="232830"/>
          <w:sz w:val="19"/>
        </w:rPr>
        <w:t>The attached case-management clearance asserts that the discharge-readiness and care-coordination plan is complete: that the home-health skilled nursing referral has been arranged and accepted with a first home visit scheduled, equipment delivery confirmed, family medication education completed and teach-back verified, and supervision and transportation confirmed. The chart does not support that the plan is complete. The discharge-facing snapshot and the case-management and social-work note document these same items as in coordination and pending confirmation, not arranged, accepted, or verified, and PT, OT, and nursing document the underlying needs rather than their completion. Discharge to home remains defensible, but only as conditional readiness contingent on those items actually being completed and confirmed before discharge order entry. The clearance over-claims completion of a support plan the record was still coordinating and should not be ratified as written.</w:t>
      </w:r>
    </w:p>
    <w:p>
      <w:pPr>
        <w:spacing w:before="180" w:after="60"/>
        <w:pBdr>
          <w:bottom w:val="single" w:sz="6" w:color="C9D4EA" w:space="2"/>
        </w:pBdr>
      </w:pPr>
      <w:r>
        <w:rPr>
          <w:rFonts w:ascii="Arial" w:hAnsi="Arial"/>
          <w:b/>
          <w:i w:val="0"/>
          <w:color w:val="4472C4"/>
          <w:sz w:val="20"/>
        </w:rPr>
        <w:t>READINESS DETERMINATION</w:t>
      </w:r>
    </w:p>
    <w:p>
      <w:r>
        <w:rPr>
          <w:rFonts w:ascii="Arial" w:hAnsi="Arial"/>
          <w:b w:val="0"/>
          <w:i w:val="0"/>
          <w:color w:val="232830"/>
          <w:sz w:val="19"/>
        </w:rPr>
        <w:t>Discharge readiness is conditional. Home discharge is defensible if, before discharge order entry, the team confirms an adequate supervision plan, reconciles PT, OT, and nursing observations with the selected environment, teaches the final medication plan with family present, clarifies prednisone and high-risk renal, cardiac, and diabetes medication instructions, arranges feasible services or follow-up, and documents the attending synthesis. Until those steps are completed and confirmed, the chart supports concern for premature discharge driven by medical improvement while functional, medication, and transition risks remain unresolved. The point is to preserve the distinction between physiologic improvement and safe transition readiness, not to ignore the improvement narrative or treat family concern as dispositive.</w:t>
      </w:r>
    </w:p>
    <w:p>
      <w:pPr>
        <w:spacing w:before="200"/>
        <w:pBdr>
          <w:top w:val="single" w:sz="4" w:color="C9D4EA" w:space="4"/>
        </w:pBdr>
      </w:pPr>
      <w:r>
        <w:rPr>
          <w:rFonts w:ascii="Arial" w:hAnsi="Arial"/>
          <w:b w:val="0"/>
          <w:i/>
          <w:color w:val="5E6670"/>
          <w:sz w:val="18"/>
        </w:rPr>
        <w:t>Electronically signed by Elian Vossmere, MD  |  Hospital Medicine</w:t>
      </w:r>
    </w:p>
    <w:sectPr w:rsidR="00FC693F" w:rsidRPr="0006063C" w:rsidSect="00034616">
      <w:headerReference w:type="default" r:id="rId9"/>
      <w:footerReference w:type="default" r:id="rId10"/>
      <w:headerReference w:type="first" r:id="rId11"/>
      <w:footerReference w:type="first" r:id="rId12"/>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Discharge Readiness Assessment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