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4F46E5"/>
        </w:rPr>
        <w:t>Project Sanctum: Suggested Resources by Category</w:t>
      </w:r>
    </w:p>
    <w:p>
      <w:r>
        <w:rPr>
          <w:b/>
          <w:sz w:val="22"/>
        </w:rPr>
        <w:t>Reference list for task writers — Updated 06/18/2026</w:t>
      </w:r>
    </w:p>
    <w:p>
      <w:r>
        <w:rPr>
          <w:i/>
        </w:rPr>
        <w:t>This is a standalone reference companion to the Approved Task Selection Categories table. Resources are grouped by workflow category rather than by individual workflow row, so task writers can browse by specialty or function. Public/official links have been verified to resolve to the correct page. Vendor tools (InterQual, MCG, Lexicomp, Micromedex, CLSI, AABB) are named without a public URL since they require your organization's existing license. Project Sanctum-internal tools (the clinical data simulators and the LabCorp/public-domain image sourcing guidance) are marked accordingly. Always verify clinical specifics against the current version of the cited source before a task ships.</w:t>
      </w:r>
    </w:p>
    <w:p/>
    <w:p>
      <w:pPr>
        <w:pStyle w:val="Heading2"/>
      </w:pPr>
      <w:r>
        <w:rPr>
          <w:rFonts w:ascii="Arial" w:hAnsi="Arial"/>
          <w:color w:val="4F46E5"/>
        </w:rPr>
        <w:t>General / Cross-Cutting</w:t>
      </w:r>
    </w:p>
    <w:p>
      <w:r>
        <w:t>AHRQ Quality Indicators (https://qualityindicators.ahrq.gov/) and CMS.gov (https://www.cms.gov/) for general regulatory/quality references applicable to most workflows.</w:t>
      </w:r>
    </w:p>
    <w:p>
      <w:pPr>
        <w:pStyle w:val="Heading2"/>
      </w:pPr>
      <w:r>
        <w:rPr>
          <w:rFonts w:ascii="Arial" w:hAnsi="Arial"/>
          <w:color w:val="4F46E5"/>
        </w:rPr>
        <w:t>Prior Authorization</w:t>
      </w:r>
    </w:p>
    <w:p>
      <w:pPr>
        <w:ind w:left="360"/>
      </w:pPr>
      <w:r>
        <w:rPr>
          <w:rFonts w:ascii="Arial" w:hAnsi="Arial"/>
          <w:sz w:val="20"/>
        </w:rPr>
        <w:t>• CMS Medicare Coverage Database (LCD/NCD lookup): https://www.cms.gov/medicare-coverage-database/search.aspx</w:t>
      </w:r>
    </w:p>
    <w:p>
      <w:pPr>
        <w:ind w:left="360"/>
      </w:pPr>
      <w:r>
        <w:rPr>
          <w:rFonts w:ascii="Arial" w:hAnsi="Arial"/>
          <w:sz w:val="20"/>
        </w:rPr>
        <w:t>• InterQual and MCG (vendor criteria, access via your organization's license)</w:t>
      </w:r>
    </w:p>
    <w:p>
      <w:pPr>
        <w:ind w:left="360"/>
      </w:pPr>
      <w:r>
        <w:rPr>
          <w:rFonts w:ascii="Arial" w:hAnsi="Arial"/>
          <w:sz w:val="20"/>
        </w:rPr>
        <w:t>• Project Sanctum tool-use guidance: pair this with a real-time guideline search or literature-retrieval requirement so the agent must use an external tool, not just recall, to justify the determination</w:t>
      </w:r>
    </w:p>
    <w:p>
      <w:pPr>
        <w:pStyle w:val="Heading2"/>
      </w:pPr>
      <w:r>
        <w:rPr>
          <w:rFonts w:ascii="Arial" w:hAnsi="Arial"/>
          <w:color w:val="4F46E5"/>
        </w:rPr>
        <w:t>Denials &amp; Appeals</w:t>
      </w:r>
    </w:p>
    <w:p>
      <w:pPr>
        <w:ind w:left="360"/>
      </w:pPr>
      <w:r>
        <w:rPr>
          <w:rFonts w:ascii="Arial" w:hAnsi="Arial"/>
          <w:sz w:val="20"/>
        </w:rPr>
        <w:t>• CMS NCCI Edits: https://www.cms.gov/medicare/coding-billing/national-correct-coding-initiative-ncci-edits</w:t>
      </w:r>
    </w:p>
    <w:p>
      <w:pPr>
        <w:ind w:left="360"/>
      </w:pPr>
      <w:r>
        <w:rPr>
          <w:rFonts w:ascii="Arial" w:hAnsi="Arial"/>
          <w:sz w:val="20"/>
        </w:rPr>
        <w:t>• AHA Coding Clinic (subscription, via AHA Central Office)</w:t>
      </w:r>
    </w:p>
    <w:p>
      <w:pPr>
        <w:pStyle w:val="Heading2"/>
      </w:pPr>
      <w:r>
        <w:rPr>
          <w:rFonts w:ascii="Arial" w:hAnsi="Arial"/>
          <w:color w:val="4F46E5"/>
        </w:rPr>
        <w:t>Medical Coding (DRG / CPT / HCPCS / ICD-10)</w:t>
      </w:r>
    </w:p>
    <w:p>
      <w:pPr>
        <w:ind w:left="360"/>
      </w:pPr>
      <w:r>
        <w:rPr>
          <w:rFonts w:ascii="Arial" w:hAnsi="Arial"/>
          <w:sz w:val="20"/>
        </w:rPr>
        <w:t>• AHIMA/ACDIS Guidelines for Achieving a Compliant Query Practice: https://www.ahima.org/landing-pages/ahima-acdis-guidelines-for-achieving-a-compliant-query-practice/</w:t>
      </w:r>
    </w:p>
    <w:p>
      <w:pPr>
        <w:ind w:left="360"/>
      </w:pPr>
      <w:r>
        <w:rPr>
          <w:rFonts w:ascii="Arial" w:hAnsi="Arial"/>
          <w:sz w:val="20"/>
        </w:rPr>
        <w:t>• CMS ICD-10-CM/PCS Official Guidelines: https://www.cms.gov/medicare/coding-billing/icd-10-codes</w:t>
      </w:r>
    </w:p>
    <w:p>
      <w:pPr>
        <w:pStyle w:val="Heading2"/>
      </w:pPr>
      <w:r>
        <w:rPr>
          <w:rFonts w:ascii="Arial" w:hAnsi="Arial"/>
          <w:color w:val="4F46E5"/>
        </w:rPr>
        <w:t>Charge Capture &amp; Reconciliation</w:t>
      </w:r>
    </w:p>
    <w:p>
      <w:pPr>
        <w:ind w:left="360"/>
      </w:pPr>
      <w:r>
        <w:rPr>
          <w:rFonts w:ascii="Arial" w:hAnsi="Arial"/>
          <w:sz w:val="20"/>
        </w:rPr>
        <w:t>• Hospital chargemaster cross-reference is institution-specific; for CPT/HCPCS code currency see AMA CPT: https://www.ama-assn.org/practice-management/cpt and CMS HCPCS: https://www.cms.gov/medicare/coding-billing/healthcare-common-procedure-system</w:t>
      </w:r>
    </w:p>
    <w:p>
      <w:pPr>
        <w:pStyle w:val="Heading2"/>
      </w:pPr>
      <w:r>
        <w:rPr>
          <w:rFonts w:ascii="Arial" w:hAnsi="Arial"/>
          <w:color w:val="4F46E5"/>
        </w:rPr>
        <w:t>Medication / Pharmacy / Drug Interaction</w:t>
      </w:r>
    </w:p>
    <w:p>
      <w:pPr>
        <w:ind w:left="360"/>
      </w:pPr>
      <w:r>
        <w:rPr>
          <w:rFonts w:ascii="Arial" w:hAnsi="Arial"/>
          <w:sz w:val="20"/>
        </w:rPr>
        <w:t>• Lexicomp and Micromedex (vendor drug-interaction/dosing references, access via your organization's license)</w:t>
      </w:r>
    </w:p>
    <w:p>
      <w:pPr>
        <w:ind w:left="360"/>
      </w:pPr>
      <w:r>
        <w:rPr>
          <w:rFonts w:ascii="Arial" w:hAnsi="Arial"/>
          <w:sz w:val="20"/>
        </w:rPr>
        <w:t>• FDA Drug Safety Communications: https://www.fda.gov/drugs/drug-safety-and-availability/drug-safety-communications</w:t>
      </w:r>
    </w:p>
    <w:p>
      <w:pPr>
        <w:pStyle w:val="Heading2"/>
      </w:pPr>
      <w:r>
        <w:rPr>
          <w:rFonts w:ascii="Arial" w:hAnsi="Arial"/>
          <w:color w:val="4F46E5"/>
        </w:rPr>
        <w:t>Risk Stratification &amp; Risk Adjustment (HCC)</w:t>
      </w:r>
    </w:p>
    <w:p>
      <w:pPr>
        <w:ind w:left="360"/>
      </w:pPr>
      <w:r>
        <w:rPr>
          <w:rFonts w:ascii="Arial" w:hAnsi="Arial"/>
          <w:sz w:val="20"/>
        </w:rPr>
        <w:t>• AHRQ Quality Indicators: https://qualityindicators.ahrq.gov/</w:t>
      </w:r>
    </w:p>
    <w:p>
      <w:pPr>
        <w:ind w:left="360"/>
      </w:pPr>
      <w:r>
        <w:rPr>
          <w:rFonts w:ascii="Arial" w:hAnsi="Arial"/>
          <w:sz w:val="20"/>
        </w:rPr>
        <w:t>• CMS HCC Risk Adjustment models: https://www.cms.gov/medicare/payment/medicare-advantage-rates-statistics/risk-adjustment</w:t>
      </w:r>
    </w:p>
    <w:p>
      <w:pPr>
        <w:pStyle w:val="Heading2"/>
      </w:pPr>
      <w:r>
        <w:rPr>
          <w:rFonts w:ascii="Arial" w:hAnsi="Arial"/>
          <w:color w:val="4F46E5"/>
        </w:rPr>
        <w:t>Chronic Care &amp; Treatment Planning</w:t>
      </w:r>
    </w:p>
    <w:p>
      <w:pPr>
        <w:ind w:left="360"/>
      </w:pPr>
      <w:r>
        <w:rPr>
          <w:rFonts w:ascii="Arial" w:hAnsi="Arial"/>
          <w:sz w:val="20"/>
        </w:rPr>
        <w:t>• CDC chronic disease guidelines hub: https://www.cdc.gov/chronicdisease/</w:t>
      </w:r>
    </w:p>
    <w:p>
      <w:pPr>
        <w:ind w:left="360"/>
      </w:pPr>
      <w:r>
        <w:rPr>
          <w:rFonts w:ascii="Arial" w:hAnsi="Arial"/>
          <w:sz w:val="20"/>
        </w:rPr>
        <w:t>• Specialty society guideline pages (e.g., ACC/AHA, ADA) as relevant to the specific condition pair</w:t>
      </w:r>
    </w:p>
    <w:p>
      <w:pPr>
        <w:pStyle w:val="Heading2"/>
      </w:pPr>
      <w:r>
        <w:rPr>
          <w:rFonts w:ascii="Arial" w:hAnsi="Arial"/>
          <w:color w:val="4F46E5"/>
        </w:rPr>
        <w:t>Discharge &amp; Care Transitions</w:t>
      </w:r>
    </w:p>
    <w:p>
      <w:pPr>
        <w:ind w:left="360"/>
      </w:pPr>
      <w:r>
        <w:rPr>
          <w:rFonts w:ascii="Arial" w:hAnsi="Arial"/>
          <w:sz w:val="20"/>
        </w:rPr>
        <w:t>• AHRQ Care Transitions resources: https://www.ahrq.gov/patient-safety/settings/hospital/red/index.html</w:t>
      </w:r>
    </w:p>
    <w:p>
      <w:pPr>
        <w:ind w:left="360"/>
      </w:pPr>
      <w:r>
        <w:rPr>
          <w:rFonts w:ascii="Arial" w:hAnsi="Arial"/>
          <w:sz w:val="20"/>
        </w:rPr>
        <w:t>• CMS Discharge Planning CoPs: https://www.cms.gov/medicare/health-safety-standards/quality-safety-oversight-certification-compliance</w:t>
      </w:r>
    </w:p>
    <w:p>
      <w:pPr>
        <w:pStyle w:val="Heading2"/>
      </w:pPr>
      <w:r>
        <w:rPr>
          <w:rFonts w:ascii="Arial" w:hAnsi="Arial"/>
          <w:color w:val="4F46E5"/>
        </w:rPr>
        <w:t>Utilization Review / Admission Status</w:t>
      </w:r>
    </w:p>
    <w:p>
      <w:pPr>
        <w:ind w:left="360"/>
      </w:pPr>
      <w:r>
        <w:rPr>
          <w:rFonts w:ascii="Arial" w:hAnsi="Arial"/>
          <w:sz w:val="20"/>
        </w:rPr>
        <w:t>• InterQual and MCG criteria (vendor, via your organization's license)</w:t>
      </w:r>
    </w:p>
    <w:p>
      <w:pPr>
        <w:ind w:left="360"/>
      </w:pPr>
      <w:r>
        <w:rPr>
          <w:rFonts w:ascii="Arial" w:hAnsi="Arial"/>
          <w:sz w:val="20"/>
        </w:rPr>
        <w:t>• CMS Two-Midnight Rule guidance: https://www.cms.gov/medicare/coverage/two-midnight-rule</w:t>
      </w:r>
    </w:p>
    <w:p>
      <w:pPr>
        <w:pStyle w:val="Heading2"/>
      </w:pPr>
      <w:r>
        <w:rPr>
          <w:rFonts w:ascii="Arial" w:hAnsi="Arial"/>
          <w:color w:val="4F46E5"/>
        </w:rPr>
        <w:t>Clinical Documentation Improvement (CDI)</w:t>
      </w:r>
    </w:p>
    <w:p>
      <w:pPr>
        <w:ind w:left="360"/>
      </w:pPr>
      <w:r>
        <w:rPr>
          <w:rFonts w:ascii="Arial" w:hAnsi="Arial"/>
          <w:sz w:val="20"/>
        </w:rPr>
        <w:t>• AHIMA/ACDIS Guidelines for Achieving a Compliant Query Practice: https://www.ahima.org/landing-pages/ahima-acdis-guidelines-for-achieving-a-compliant-query-practice/</w:t>
      </w:r>
    </w:p>
    <w:p>
      <w:pPr>
        <w:ind w:left="360"/>
      </w:pPr>
      <w:r>
        <w:rPr>
          <w:rFonts w:ascii="Arial" w:hAnsi="Arial"/>
          <w:sz w:val="20"/>
        </w:rPr>
        <w:t>• ACDIS resource library: https://acdis.org/resources</w:t>
      </w:r>
    </w:p>
    <w:p>
      <w:pPr>
        <w:pStyle w:val="Heading2"/>
      </w:pPr>
      <w:r>
        <w:rPr>
          <w:rFonts w:ascii="Arial" w:hAnsi="Arial"/>
          <w:color w:val="4F46E5"/>
        </w:rPr>
        <w:t>Credentialing &amp; Privileging</w:t>
      </w:r>
    </w:p>
    <w:p>
      <w:pPr>
        <w:ind w:left="360"/>
      </w:pPr>
      <w:r>
        <w:rPr>
          <w:rFonts w:ascii="Arial" w:hAnsi="Arial"/>
          <w:sz w:val="20"/>
        </w:rPr>
        <w:t>• NCQA Credentialing Standards: https://www.ncqa.org/programs/health-plans/credentialing-cr/</w:t>
      </w:r>
    </w:p>
    <w:p>
      <w:pPr>
        <w:ind w:left="360"/>
      </w:pPr>
      <w:r>
        <w:rPr>
          <w:rFonts w:ascii="Arial" w:hAnsi="Arial"/>
          <w:sz w:val="20"/>
        </w:rPr>
        <w:t>• NPDB: https://www.npdb.hrsa.gov/</w:t>
      </w:r>
    </w:p>
    <w:p>
      <w:pPr>
        <w:ind w:left="360"/>
      </w:pPr>
      <w:r>
        <w:rPr>
          <w:rFonts w:ascii="Arial" w:hAnsi="Arial"/>
          <w:sz w:val="20"/>
        </w:rPr>
        <w:t>• OIG LEIE exclusion list: https://oig.hhs.gov/exclusions/</w:t>
      </w:r>
    </w:p>
    <w:p>
      <w:pPr>
        <w:pStyle w:val="Heading2"/>
      </w:pPr>
      <w:r>
        <w:rPr>
          <w:rFonts w:ascii="Arial" w:hAnsi="Arial"/>
          <w:color w:val="4F46E5"/>
        </w:rPr>
        <w:t>HEDIS / Star Ratings / Quality Measures</w:t>
      </w:r>
    </w:p>
    <w:p>
      <w:pPr>
        <w:ind w:left="360"/>
      </w:pPr>
      <w:r>
        <w:rPr>
          <w:rFonts w:ascii="Arial" w:hAnsi="Arial"/>
          <w:sz w:val="20"/>
        </w:rPr>
        <w:t>• NCQA HEDIS Measures: https://www.ncqa.org/hedis/measures/</w:t>
      </w:r>
    </w:p>
    <w:p>
      <w:pPr>
        <w:ind w:left="360"/>
      </w:pPr>
      <w:r>
        <w:rPr>
          <w:rFonts w:ascii="Arial" w:hAnsi="Arial"/>
          <w:sz w:val="20"/>
        </w:rPr>
        <w:t>• CMS Star Ratings: https://www.cms.gov/medicare/health-drug-plans/part-c-d-performance-data</w:t>
      </w:r>
    </w:p>
    <w:p>
      <w:pPr>
        <w:pStyle w:val="Heading2"/>
      </w:pPr>
      <w:r>
        <w:rPr>
          <w:rFonts w:ascii="Arial" w:hAnsi="Arial"/>
          <w:color w:val="4F46E5"/>
        </w:rPr>
        <w:t>Radiology, Imaging &amp; Pathology</w:t>
      </w:r>
    </w:p>
    <w:p>
      <w:pPr>
        <w:ind w:left="360"/>
      </w:pPr>
      <w:r>
        <w:rPr>
          <w:rFonts w:ascii="Arial" w:hAnsi="Arial"/>
          <w:sz w:val="20"/>
        </w:rPr>
        <w:t>• ACR Appropriateness Criteria: https://www.acr.org/Clinical-Resources/ACR-Appropriateness-Criteria</w:t>
      </w:r>
    </w:p>
    <w:p>
      <w:pPr>
        <w:ind w:left="360"/>
      </w:pPr>
      <w:r>
        <w:rPr>
          <w:rFonts w:ascii="Arial" w:hAnsi="Arial"/>
          <w:sz w:val="20"/>
        </w:rPr>
        <w:t>• CAP Cancer Protocol Templates: https://www.cap.org/protocols-and-guidelines/cancer-reporting-tools/cancer-protocol-templates</w:t>
      </w:r>
    </w:p>
    <w:p>
      <w:pPr>
        <w:ind w:left="360"/>
      </w:pPr>
      <w:r>
        <w:rPr>
          <w:rFonts w:ascii="Arial" w:hAnsi="Arial"/>
          <w:sz w:val="20"/>
        </w:rPr>
        <w:t>• Project Sanctum Radiology Report Simulator: https://med-data-nine.vercel.app/ (tab 2)</w:t>
      </w:r>
    </w:p>
    <w:p>
      <w:pPr>
        <w:ind w:left="360"/>
      </w:pPr>
      <w:r>
        <w:rPr>
          <w:rFonts w:ascii="Arial" w:hAnsi="Arial"/>
          <w:sz w:val="20"/>
        </w:rPr>
        <w:t>• Public-domain reference images (metadata scrubbed before use, license verified as public domain or CC BY-SA): NIH, CDC, WHO, Life in the Fast Lane (https://litfl.com/), Radiopaedia (https://radiopaedia.org/)</w:t>
      </w:r>
    </w:p>
    <w:p>
      <w:pPr>
        <w:pStyle w:val="Heading2"/>
      </w:pPr>
      <w:r>
        <w:rPr>
          <w:rFonts w:ascii="Arial" w:hAnsi="Arial"/>
          <w:color w:val="4F46E5"/>
        </w:rPr>
        <w:t>Laboratory (Orders, QC, Specimens)</w:t>
      </w:r>
    </w:p>
    <w:p>
      <w:pPr>
        <w:ind w:left="360"/>
      </w:pPr>
      <w:r>
        <w:rPr>
          <w:rFonts w:ascii="Arial" w:hAnsi="Arial"/>
          <w:sz w:val="20"/>
        </w:rPr>
        <w:t>• CLSI breakpoint standards (vendor, via your organization's license)</w:t>
      </w:r>
    </w:p>
    <w:p>
      <w:pPr>
        <w:ind w:left="360"/>
      </w:pPr>
      <w:r>
        <w:rPr>
          <w:rFonts w:ascii="Arial" w:hAnsi="Arial"/>
          <w:sz w:val="20"/>
        </w:rPr>
        <w:t>• CAP Laboratory Accreditation Checklists: https://www.cap.org/laboratory-improvement/accreditation/accreditation-checklists</w:t>
      </w:r>
    </w:p>
    <w:p>
      <w:pPr>
        <w:ind w:left="360"/>
      </w:pPr>
      <w:r>
        <w:rPr>
          <w:rFonts w:ascii="Arial" w:hAnsi="Arial"/>
          <w:sz w:val="20"/>
        </w:rPr>
        <w:t>• Project Sanctum Lab Report Simulator: https://med-data-nine.vercel.app/ (tab 1)</w:t>
      </w:r>
    </w:p>
    <w:p>
      <w:pPr>
        <w:ind w:left="360"/>
      </w:pPr>
      <w:r>
        <w:rPr>
          <w:rFonts w:ascii="Arial" w:hAnsi="Arial"/>
          <w:sz w:val="20"/>
        </w:rPr>
        <w:t>• LabCorp Test Menu (reference ranges/formatting): https://www.labcorp.com/test-menu/search</w:t>
      </w:r>
    </w:p>
    <w:p>
      <w:pPr>
        <w:pStyle w:val="Heading2"/>
      </w:pPr>
      <w:r>
        <w:rPr>
          <w:rFonts w:ascii="Arial" w:hAnsi="Arial"/>
          <w:color w:val="4F46E5"/>
        </w:rPr>
        <w:t>Transfusion Medicine / Blood Bank</w:t>
      </w:r>
    </w:p>
    <w:p>
      <w:pPr>
        <w:ind w:left="360"/>
      </w:pPr>
      <w:r>
        <w:rPr>
          <w:rFonts w:ascii="Arial" w:hAnsi="Arial"/>
          <w:sz w:val="20"/>
        </w:rPr>
        <w:t>• AABB Standards for Blood Banks (vendor)</w:t>
      </w:r>
    </w:p>
    <w:p>
      <w:pPr>
        <w:ind w:left="360"/>
      </w:pPr>
      <w:r>
        <w:rPr>
          <w:rFonts w:ascii="Arial" w:hAnsi="Arial"/>
          <w:sz w:val="20"/>
        </w:rPr>
        <w:t>• FDA Blood Safety guidance: https://www.fda.gov/vaccines-blood-biologics/safety-availability-biologics/blood-safety-and-availability</w:t>
      </w:r>
    </w:p>
    <w:p>
      <w:pPr>
        <w:pStyle w:val="Heading2"/>
      </w:pPr>
      <w:r>
        <w:rPr>
          <w:rFonts w:ascii="Arial" w:hAnsi="Arial"/>
          <w:color w:val="4F46E5"/>
        </w:rPr>
        <w:t>Peer Review, Mortality &amp; Patient Safety Indicators</w:t>
      </w:r>
    </w:p>
    <w:p>
      <w:pPr>
        <w:ind w:left="360"/>
      </w:pPr>
      <w:r>
        <w:rPr>
          <w:rFonts w:ascii="Arial" w:hAnsi="Arial"/>
          <w:sz w:val="20"/>
        </w:rPr>
        <w:t>• Joint Commission Sentinel Event Policy: https://www.jointcommission.org/resources/patient-safety-topics/sentinel-event/</w:t>
      </w:r>
    </w:p>
    <w:p>
      <w:pPr>
        <w:ind w:left="360"/>
      </w:pPr>
      <w:r>
        <w:rPr>
          <w:rFonts w:ascii="Arial" w:hAnsi="Arial"/>
          <w:sz w:val="20"/>
        </w:rPr>
        <w:t>• AHRQ Patient Safety Indicators: https://qualityindicators.ahrq.gov/measures/PSI_TechSpec</w:t>
      </w:r>
    </w:p>
    <w:p>
      <w:pPr>
        <w:pStyle w:val="Heading2"/>
      </w:pPr>
      <w:r>
        <w:rPr>
          <w:rFonts w:ascii="Arial" w:hAnsi="Arial"/>
          <w:color w:val="4F46E5"/>
        </w:rPr>
        <w:t>Regulatory Compliance &amp; Accreditation</w:t>
      </w:r>
    </w:p>
    <w:p>
      <w:pPr>
        <w:ind w:left="360"/>
      </w:pPr>
      <w:r>
        <w:rPr>
          <w:rFonts w:ascii="Arial" w:hAnsi="Arial"/>
          <w:sz w:val="20"/>
        </w:rPr>
        <w:t>• Joint Commission Standards: https://www.jointcommission.org/en-us/standards</w:t>
      </w:r>
    </w:p>
    <w:p>
      <w:pPr>
        <w:ind w:left="360"/>
      </w:pPr>
      <w:r>
        <w:rPr>
          <w:rFonts w:ascii="Arial" w:hAnsi="Arial"/>
          <w:sz w:val="20"/>
        </w:rPr>
        <w:t>• CMS Conditions of Participation: https://www.cms.gov/medicare/health-safety-standards/quality-safety-oversight-certification-compliance</w:t>
      </w:r>
    </w:p>
    <w:p>
      <w:pPr>
        <w:ind w:left="360"/>
      </w:pPr>
      <w:r>
        <w:rPr>
          <w:rFonts w:ascii="Arial" w:hAnsi="Arial"/>
          <w:sz w:val="20"/>
        </w:rPr>
        <w:t>• 45 CFR 164 (HIPAA Security Rule): https://www.hhs.gov/hipaa/for-professionals/security/index.html</w:t>
      </w:r>
    </w:p>
    <w:p>
      <w:pPr>
        <w:pStyle w:val="Heading2"/>
      </w:pPr>
      <w:r>
        <w:rPr>
          <w:rFonts w:ascii="Arial" w:hAnsi="Arial"/>
          <w:color w:val="4F46E5"/>
        </w:rPr>
        <w:t>Claims Submission, Scrubbing &amp; Remittance</w:t>
      </w:r>
    </w:p>
    <w:p>
      <w:pPr>
        <w:ind w:left="360"/>
      </w:pPr>
      <w:r>
        <w:rPr>
          <w:rFonts w:ascii="Arial" w:hAnsi="Arial"/>
          <w:sz w:val="20"/>
        </w:rPr>
        <w:t>• CMS NCCI Edits: https://www.cms.gov/medicare/coding-billing/national-correct-coding-initiative-ncci-edits</w:t>
      </w:r>
    </w:p>
    <w:p>
      <w:pPr>
        <w:ind w:left="360"/>
      </w:pPr>
      <w:r>
        <w:rPr>
          <w:rFonts w:ascii="Arial" w:hAnsi="Arial"/>
          <w:sz w:val="20"/>
        </w:rPr>
        <w:t>• CMS Medicare Coverage Database: https://www.cms.gov/medicare-coverage-database/search.aspx</w:t>
      </w:r>
    </w:p>
    <w:p>
      <w:pPr>
        <w:pStyle w:val="Heading2"/>
      </w:pPr>
      <w:r>
        <w:rPr>
          <w:rFonts w:ascii="Arial" w:hAnsi="Arial"/>
          <w:color w:val="4F46E5"/>
        </w:rPr>
        <w:t>Revenue Cycle, KPIs &amp; Financial Forecasting</w:t>
      </w:r>
    </w:p>
    <w:p>
      <w:pPr>
        <w:ind w:left="360"/>
      </w:pPr>
      <w:r>
        <w:rPr>
          <w:rFonts w:ascii="Arial" w:hAnsi="Arial"/>
          <w:sz w:val="20"/>
        </w:rPr>
        <w:t>• HFMA MAP Keys: https://www.hfma.org/topics/map-keys/</w:t>
      </w:r>
    </w:p>
    <w:p>
      <w:pPr>
        <w:ind w:left="360"/>
      </w:pPr>
      <w:r>
        <w:rPr>
          <w:rFonts w:ascii="Arial" w:hAnsi="Arial"/>
          <w:sz w:val="20"/>
        </w:rPr>
        <w:t>• CMS Fee Schedules: https://www.cms.gov/medicare/payment/fee-schedules</w:t>
      </w:r>
    </w:p>
    <w:p>
      <w:pPr>
        <w:pStyle w:val="Heading2"/>
      </w:pPr>
      <w:r>
        <w:rPr>
          <w:rFonts w:ascii="Arial" w:hAnsi="Arial"/>
          <w:color w:val="4F46E5"/>
        </w:rPr>
        <w:t>Genetics &amp; Genomics</w:t>
      </w:r>
    </w:p>
    <w:p>
      <w:pPr>
        <w:ind w:left="360"/>
      </w:pPr>
      <w:r>
        <w:rPr>
          <w:rFonts w:ascii="Arial" w:hAnsi="Arial"/>
          <w:sz w:val="20"/>
        </w:rPr>
        <w:t>• ClinVar (NIH variant database): https://www.ncbi.nlm.nih.gov/clinvar/</w:t>
      </w:r>
    </w:p>
    <w:p>
      <w:pPr>
        <w:ind w:left="360"/>
      </w:pPr>
      <w:r>
        <w:rPr>
          <w:rFonts w:ascii="Arial" w:hAnsi="Arial"/>
          <w:sz w:val="20"/>
        </w:rPr>
        <w:t>• ACMG/AMP variant classification standards: https://www.acmg.net/</w:t>
      </w:r>
    </w:p>
    <w:p>
      <w:pPr>
        <w:pStyle w:val="Heading2"/>
      </w:pPr>
      <w:r>
        <w:rPr>
          <w:rFonts w:ascii="Arial" w:hAnsi="Arial"/>
          <w:color w:val="4F46E5"/>
        </w:rPr>
        <w:t>Critical Care / ICU / Ventilator Management</w:t>
      </w:r>
    </w:p>
    <w:p>
      <w:pPr>
        <w:ind w:left="360"/>
      </w:pPr>
      <w:r>
        <w:rPr>
          <w:rFonts w:ascii="Arial" w:hAnsi="Arial"/>
          <w:sz w:val="20"/>
        </w:rPr>
        <w:t>• Society of Critical Care Medicine guidelines: https://www.sccm.org/Clinical-Resources/Guidelines</w:t>
      </w:r>
    </w:p>
    <w:p>
      <w:pPr>
        <w:ind w:left="360"/>
      </w:pPr>
      <w:r>
        <w:rPr>
          <w:rFonts w:ascii="Arial" w:hAnsi="Arial"/>
          <w:sz w:val="20"/>
        </w:rPr>
        <w:t>• ARDSnet protocols: http://www.ardsnet.org/</w:t>
      </w:r>
    </w:p>
    <w:p>
      <w:pPr>
        <w:ind w:left="360"/>
      </w:pPr>
      <w:r>
        <w:rPr>
          <w:rFonts w:ascii="Arial" w:hAnsi="Arial"/>
          <w:sz w:val="20"/>
        </w:rPr>
        <w:t>• Project Sanctum Ventilator Simulators: RT Maven Vent Sim (https://sim.rtmaven.com/) and MedData Vent Sim (https://med-data-nine.vercel.app/, tab 5)</w:t>
      </w:r>
    </w:p>
    <w:p>
      <w:pPr>
        <w:ind w:left="360"/>
      </w:pPr>
      <w:r>
        <w:rPr>
          <w:rFonts w:ascii="Arial" w:hAnsi="Arial"/>
          <w:sz w:val="20"/>
        </w:rPr>
        <w:t>• Project Sanctum Live Patient Monitor (HR/BP/SpO2/EtCO2/RR): https://med-data-nine.vercel.app/ (tab 3)</w:t>
      </w:r>
    </w:p>
    <w:p>
      <w:pPr>
        <w:pStyle w:val="Heading2"/>
      </w:pPr>
      <w:r>
        <w:rPr>
          <w:rFonts w:ascii="Arial" w:hAnsi="Arial"/>
          <w:color w:val="4F46E5"/>
        </w:rPr>
        <w:t>Triage, Labor &amp; Delivery, Emergency Medicine</w:t>
      </w:r>
    </w:p>
    <w:p>
      <w:pPr>
        <w:ind w:left="360"/>
      </w:pPr>
      <w:r>
        <w:rPr>
          <w:rFonts w:ascii="Arial" w:hAnsi="Arial"/>
          <w:sz w:val="20"/>
        </w:rPr>
        <w:t>• ACEP Clinical Policies: https://www.acep.org/patient-care/clinical-policies/</w:t>
      </w:r>
    </w:p>
    <w:p>
      <w:pPr>
        <w:ind w:left="360"/>
      </w:pPr>
      <w:r>
        <w:rPr>
          <w:rFonts w:ascii="Arial" w:hAnsi="Arial"/>
          <w:sz w:val="20"/>
        </w:rPr>
        <w:t>• American Heart Association/American Stroke Association guidelines: https://www.ahajournals.org/heart-and-stroke-guidelines</w:t>
      </w:r>
    </w:p>
    <w:p>
      <w:pPr>
        <w:ind w:left="360"/>
      </w:pPr>
      <w:r>
        <w:rPr>
          <w:rFonts w:ascii="Arial" w:hAnsi="Arial"/>
          <w:sz w:val="20"/>
        </w:rPr>
        <w:t>• Project Sanctum EFM Simulator (OB/GYN, L&amp;D triage): https://kingpascual1992-cmd.github.io/efmsimulatorobgyn/</w:t>
      </w:r>
    </w:p>
    <w:p>
      <w:pPr>
        <w:pStyle w:val="Heading2"/>
      </w:pPr>
      <w:r>
        <w:rPr>
          <w:rFonts w:ascii="Arial" w:hAnsi="Arial"/>
          <w:color w:val="4F46E5"/>
        </w:rPr>
        <w:t>REMS, Controlled Substances &amp; DEA Compliance</w:t>
      </w:r>
    </w:p>
    <w:p>
      <w:pPr>
        <w:ind w:left="360"/>
      </w:pPr>
      <w:r>
        <w:rPr>
          <w:rFonts w:ascii="Arial" w:hAnsi="Arial"/>
          <w:sz w:val="20"/>
        </w:rPr>
        <w:t>• DEA Diversion Control Division: https://www.deadiversion.usdoj.gov/</w:t>
      </w:r>
    </w:p>
    <w:p>
      <w:pPr>
        <w:ind w:left="360"/>
      </w:pPr>
      <w:r>
        <w:rPr>
          <w:rFonts w:ascii="Arial" w:hAnsi="Arial"/>
          <w:sz w:val="20"/>
        </w:rPr>
        <w:t>• iPLEDGE REMS program: https://www.ipledgeprogram.com/</w:t>
      </w:r>
    </w:p>
    <w:p>
      <w:pPr>
        <w:ind w:left="360"/>
      </w:pPr>
      <w:r>
        <w:rPr>
          <w:rFonts w:ascii="Arial" w:hAnsi="Arial"/>
          <w:sz w:val="20"/>
        </w:rPr>
        <w:t>• FDA REMS database: https://www.accessdata.fda.gov/scripts/cder/rems/index.cfm</w:t>
      </w:r>
    </w:p>
    <w:p>
      <w:pPr>
        <w:pStyle w:val="Heading2"/>
      </w:pPr>
      <w:r>
        <w:rPr>
          <w:rFonts w:ascii="Arial" w:hAnsi="Arial"/>
          <w:color w:val="4F46E5"/>
        </w:rPr>
        <w:t>340B Drug Pricing Program</w:t>
      </w:r>
    </w:p>
    <w:p>
      <w:pPr>
        <w:ind w:left="360"/>
      </w:pPr>
      <w:r>
        <w:rPr>
          <w:rFonts w:ascii="Arial" w:hAnsi="Arial"/>
          <w:sz w:val="20"/>
        </w:rPr>
        <w:t>• HRSA 340B Program: https://www.hrsa.gov/opa</w:t>
      </w:r>
    </w:p>
    <w:p>
      <w:pPr>
        <w:ind w:left="360"/>
      </w:pPr>
      <w:r>
        <w:rPr>
          <w:rFonts w:ascii="Arial" w:hAnsi="Arial"/>
          <w:sz w:val="20"/>
        </w:rPr>
        <w:t>• 340B OPAIS database: https://340bopais.hrsa.gov/</w:t>
      </w:r>
    </w:p>
    <w:p>
      <w:pPr>
        <w:pStyle w:val="Heading2"/>
      </w:pPr>
      <w:r>
        <w:rPr>
          <w:rFonts w:ascii="Arial" w:hAnsi="Arial"/>
          <w:color w:val="4F46E5"/>
        </w:rPr>
        <w:t>Oncology, Tumor Board &amp; Transplant</w:t>
      </w:r>
    </w:p>
    <w:p>
      <w:pPr>
        <w:ind w:left="360"/>
      </w:pPr>
      <w:r>
        <w:rPr>
          <w:rFonts w:ascii="Arial" w:hAnsi="Arial"/>
          <w:sz w:val="20"/>
        </w:rPr>
        <w:t>• NCCN Clinical Practice Guidelines: https://www.nccn.org/guidelines/category_1</w:t>
      </w:r>
    </w:p>
    <w:p>
      <w:pPr>
        <w:ind w:left="360"/>
      </w:pPr>
      <w:r>
        <w:rPr>
          <w:rFonts w:ascii="Arial" w:hAnsi="Arial"/>
          <w:sz w:val="20"/>
        </w:rPr>
        <w:t>• UNOS/OPTN policies: https://unos.org/policy/</w:t>
      </w:r>
    </w:p>
    <w:p>
      <w:pPr>
        <w:pStyle w:val="Heading2"/>
      </w:pPr>
      <w:r>
        <w:rPr>
          <w:rFonts w:ascii="Arial" w:hAnsi="Arial"/>
          <w:color w:val="4F46E5"/>
        </w:rPr>
        <w:t>Social Determinants of Health (SDOH)</w:t>
      </w:r>
    </w:p>
    <w:p>
      <w:pPr>
        <w:ind w:left="360"/>
      </w:pPr>
      <w:r>
        <w:rPr>
          <w:rFonts w:ascii="Arial" w:hAnsi="Arial"/>
          <w:sz w:val="20"/>
        </w:rPr>
        <w:t>• CMS SDOH/Z-code resources: https://www.cms.gov/priorities/health-equity/resources/social-determinants-health</w:t>
      </w:r>
    </w:p>
    <w:p>
      <w:pPr>
        <w:ind w:left="360"/>
      </w:pPr>
      <w:r>
        <w:rPr>
          <w:rFonts w:ascii="Arial" w:hAnsi="Arial"/>
          <w:sz w:val="20"/>
        </w:rPr>
        <w:t>• AHA Gravity Project SDOH coding: https://gravityproject.org/</w:t>
      </w:r>
    </w:p>
    <w:p>
      <w:pPr>
        <w:pStyle w:val="Heading2"/>
      </w:pPr>
      <w:r>
        <w:rPr>
          <w:rFonts w:ascii="Arial" w:hAnsi="Arial"/>
          <w:color w:val="4F46E5"/>
        </w:rPr>
        <w:t>Telephone Triage &amp; Shift Handoff (SBAR)</w:t>
      </w:r>
    </w:p>
    <w:p>
      <w:pPr>
        <w:ind w:left="360"/>
      </w:pPr>
      <w:r>
        <w:rPr>
          <w:rFonts w:ascii="Arial" w:hAnsi="Arial"/>
          <w:sz w:val="20"/>
        </w:rPr>
        <w:t>• Joint Commission National Patient Safety Goals: https://www.jointcommission.org/standards/national-patient-safety-goals/</w:t>
      </w:r>
    </w:p>
    <w:p>
      <w:pPr>
        <w:ind w:left="360"/>
      </w:pPr>
      <w:r>
        <w:rPr>
          <w:rFonts w:ascii="Arial" w:hAnsi="Arial"/>
          <w:sz w:val="20"/>
        </w:rPr>
        <w:t>• AHRQ SBAR resources: https://www.ahrq.gov/teamstepps-program/curriculum/communication/index.html</w:t>
      </w:r>
    </w:p>
    <w:p>
      <w:pPr>
        <w:pStyle w:val="Heading2"/>
      </w:pPr>
      <w:r>
        <w:rPr>
          <w:rFonts w:ascii="Arial" w:hAnsi="Arial"/>
          <w:color w:val="4F46E5"/>
        </w:rPr>
        <w:t>Wound Care &amp; Fall Risk Assessment</w:t>
      </w:r>
    </w:p>
    <w:p>
      <w:pPr>
        <w:ind w:left="360"/>
      </w:pPr>
      <w:r>
        <w:rPr>
          <w:rFonts w:ascii="Arial" w:hAnsi="Arial"/>
          <w:sz w:val="20"/>
        </w:rPr>
        <w:t>• AHRQ Fall Prevention Toolkit: https://www.ahrq.gov/patient-safety/settings/hospital/fall-prevention/index.html</w:t>
      </w:r>
    </w:p>
    <w:p>
      <w:pPr>
        <w:ind w:left="360"/>
      </w:pPr>
      <w:r>
        <w:rPr>
          <w:rFonts w:ascii="Arial" w:hAnsi="Arial"/>
          <w:sz w:val="20"/>
        </w:rPr>
        <w:t>• National Pressure Injury Advisory Panel: https://npiap.com/</w:t>
      </w:r>
    </w:p>
    <w:p>
      <w:pPr>
        <w:pStyle w:val="Heading2"/>
      </w:pPr>
      <w:r>
        <w:rPr>
          <w:rFonts w:ascii="Arial" w:hAnsi="Arial"/>
          <w:color w:val="4F46E5"/>
        </w:rPr>
        <w:t>Anesthesia, Operative &amp; Surgical Documentation</w:t>
      </w:r>
    </w:p>
    <w:p>
      <w:pPr>
        <w:ind w:left="360"/>
      </w:pPr>
      <w:r>
        <w:rPr>
          <w:rFonts w:ascii="Arial" w:hAnsi="Arial"/>
          <w:sz w:val="20"/>
        </w:rPr>
        <w:t>• ASA Standards for Pre-Anesthesia Care: https://www.asahq.org/standards-and-practice-parameters</w:t>
      </w:r>
    </w:p>
    <w:p>
      <w:pPr>
        <w:ind w:left="360"/>
      </w:pPr>
      <w:r>
        <w:rPr>
          <w:rFonts w:ascii="Arial" w:hAnsi="Arial"/>
          <w:sz w:val="20"/>
        </w:rPr>
        <w:t>• ACS National Surgical Quality Improvement Program: https://www.facs.org/quality-programs/acs-nsqip/</w:t>
      </w:r>
    </w:p>
    <w:p>
      <w:pPr>
        <w:pStyle w:val="Heading2"/>
      </w:pPr>
      <w:r>
        <w:rPr>
          <w:rFonts w:ascii="Arial" w:hAnsi="Arial"/>
          <w:color w:val="4F46E5"/>
        </w:rPr>
        <w:t>Scheduling, Registration &amp; Capacity Management</w:t>
      </w:r>
    </w:p>
    <w:p>
      <w:pPr>
        <w:ind w:left="360"/>
      </w:pPr>
      <w:r>
        <w:rPr>
          <w:rFonts w:ascii="Arial" w:hAnsi="Arial"/>
          <w:sz w:val="20"/>
        </w:rPr>
        <w:t>• CMS Conditions of Participation: https://www.cms.gov/medicare/health-safety-standards/quality-safety-oversight-certification-compliance</w:t>
      </w:r>
    </w:p>
    <w:p>
      <w:pPr>
        <w:ind w:left="360"/>
      </w:pPr>
      <w:r>
        <w:rPr>
          <w:rFonts w:ascii="Arial" w:hAnsi="Arial"/>
          <w:sz w:val="20"/>
        </w:rPr>
        <w:t>• AHRQ patient flow resources: https://www.ahrq.gov/research/findings/factsheets/errors-safety/flow/index.html</w:t>
      </w:r>
    </w:p>
    <w:p>
      <w:pPr>
        <w:pStyle w:val="Heading2"/>
      </w:pPr>
      <w:r>
        <w:rPr>
          <w:rFonts w:ascii="Arial" w:hAnsi="Arial"/>
          <w:color w:val="4F46E5"/>
        </w:rPr>
        <w:t>Adverse Events &amp; FDA Reporting</w:t>
      </w:r>
    </w:p>
    <w:p>
      <w:pPr>
        <w:ind w:left="360"/>
      </w:pPr>
      <w:r>
        <w:rPr>
          <w:rFonts w:ascii="Arial" w:hAnsi="Arial"/>
          <w:sz w:val="20"/>
        </w:rPr>
        <w:t>• FDA MedWatch Forms and Reporting: https://www.fda.gov/safety/medical-product-safety-information/medwatch-forms-fda-safety-reporting</w:t>
      </w:r>
    </w:p>
    <w:p>
      <w:pPr>
        <w:pStyle w:val="Heading2"/>
      </w:pPr>
      <w:r>
        <w:rPr>
          <w:rFonts w:ascii="Arial" w:hAnsi="Arial"/>
          <w:color w:val="4F46E5"/>
        </w:rPr>
        <w:t>Formulary &amp; Pharmacy &amp; Therapeutics (P&amp;T)</w:t>
      </w:r>
    </w:p>
    <w:p>
      <w:pPr>
        <w:ind w:left="360"/>
      </w:pPr>
      <w:r>
        <w:rPr>
          <w:rFonts w:ascii="Arial" w:hAnsi="Arial"/>
          <w:sz w:val="20"/>
        </w:rPr>
        <w:t>• AMCP Format for Formulary Submissions: https://www.amcp.org/formatv5</w:t>
      </w:r>
    </w:p>
    <w:p>
      <w:pPr>
        <w:ind w:left="360"/>
      </w:pPr>
      <w:r>
        <w:rPr>
          <w:rFonts w:ascii="Arial" w:hAnsi="Arial"/>
          <w:sz w:val="20"/>
        </w:rPr>
        <w:t>• ICER value assessment reports: https://icer.org/</w:t>
      </w:r>
    </w:p>
    <w:p>
      <w:pPr>
        <w:pStyle w:val="Heading2"/>
      </w:pPr>
      <w:r>
        <w:rPr>
          <w:rFonts w:ascii="Arial" w:hAnsi="Arial"/>
          <w:color w:val="4F46E5"/>
        </w:rPr>
        <w:t>Cardiology / EKG</w:t>
      </w:r>
    </w:p>
    <w:p>
      <w:pPr>
        <w:ind w:left="360"/>
      </w:pPr>
      <w:r>
        <w:rPr>
          <w:rFonts w:ascii="Arial" w:hAnsi="Arial"/>
          <w:sz w:val="20"/>
        </w:rPr>
        <w:t>• Project Sanctum EKG Simulator: https://kingpascual1992-cmd.github.io/ekgsimulatordoc/ and MedData EKG Simulator 2 (tab 4): https://med-data-nine.vercel.app/</w:t>
      </w:r>
    </w:p>
    <w:p>
      <w:pPr>
        <w:ind w:left="360"/>
      </w:pPr>
      <w:r>
        <w:rPr>
          <w:rFonts w:ascii="Arial" w:hAnsi="Arial"/>
          <w:sz w:val="20"/>
        </w:rPr>
        <w:t>• MDCalc HEART Score reference: https://www.mdcalc.com/calc/1752/heart-score-major-cardiac-events</w:t>
      </w:r>
    </w:p>
    <w:p>
      <w:pPr>
        <w:ind w:left="360"/>
      </w:pPr>
      <w:r>
        <w:rPr>
          <w:rFonts w:ascii="Arial" w:hAnsi="Arial"/>
          <w:sz w:val="20"/>
        </w:rPr>
        <w:t>• ACC/AHA guideline hub: https://www.acc.org/guidelines</w:t>
      </w:r>
    </w:p>
    <w:p>
      <w:pPr>
        <w:pStyle w:val="Heading2"/>
      </w:pPr>
      <w:r>
        <w:rPr>
          <w:rFonts w:ascii="Arial" w:hAnsi="Arial"/>
          <w:color w:val="4F46E5"/>
        </w:rPr>
        <w:t>Neurology / EEG</w:t>
      </w:r>
    </w:p>
    <w:p>
      <w:pPr>
        <w:ind w:left="360"/>
      </w:pPr>
      <w:r>
        <w:rPr>
          <w:rFonts w:ascii="Arial" w:hAnsi="Arial"/>
          <w:sz w:val="20"/>
        </w:rPr>
        <w:t>• Project Sanctum EEG Simulator (Neuro/ICU/epilepsy): https://kingpascual1992-cmd.github.io/eegteachingsim/</w:t>
      </w:r>
    </w:p>
    <w:p>
      <w:pPr>
        <w:ind w:left="360"/>
      </w:pPr>
      <w:r>
        <w:rPr>
          <w:rFonts w:ascii="Arial" w:hAnsi="Arial"/>
          <w:sz w:val="20"/>
        </w:rPr>
        <w:t>• American Epilepsy Society resources: https://www.aesnet.org/</w:t>
      </w:r>
    </w:p>
    <w:p>
      <w:pPr>
        <w:ind w:left="360"/>
      </w:pPr>
      <w:r>
        <w:rPr>
          <w:rFonts w:ascii="Arial" w:hAnsi="Arial"/>
          <w:sz w:val="20"/>
        </w:rPr>
        <w:t>• American Heart Association/American Stroke Association guidelines: https://www.ahajournals.org/heart-and-stroke-guidelines</w:t>
      </w:r>
    </w:p>
    <w:p>
      <w:pPr>
        <w:pStyle w:val="Heading2"/>
      </w:pPr>
      <w:r>
        <w:rPr>
          <w:rFonts w:ascii="Arial" w:hAnsi="Arial"/>
          <w:color w:val="4F46E5"/>
        </w:rPr>
        <w:t>Medical Information &amp; Scientific Exchange (MSL)</w:t>
      </w:r>
    </w:p>
    <w:p>
      <w:pPr>
        <w:ind w:left="360"/>
      </w:pPr>
      <w:r>
        <w:rPr>
          <w:rFonts w:ascii="Arial" w:hAnsi="Arial"/>
          <w:sz w:val="20"/>
        </w:rPr>
        <w:t>• FDA Medical Information guidance (industry-specific, varies by product)</w:t>
      </w:r>
    </w:p>
    <w:p>
      <w:pPr>
        <w:ind w:left="360"/>
      </w:pPr>
      <w:r>
        <w:rPr>
          <w:rFonts w:ascii="Arial" w:hAnsi="Arial"/>
          <w:sz w:val="20"/>
        </w:rPr>
        <w:t>• ASHP Medical Information resources: https://www.ashp.org/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