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left w:val="none"/>
          <w:bottom w:val="none"/>
          <w:right w:val="none"/>
          <w:insideH w:val="none"/>
          <w:insideV w:val="none"/>
        </w:tblBorders>
      </w:tblPr>
      <w:tblGrid>
        <w:gridCol w:w="5184"/>
        <w:gridCol w:w="5184"/>
      </w:tblGrid>
      <w:tr>
        <w:tc>
          <w:tcPr>
            <w:tcW w:type="dxa" w:w="5184"/>
          </w:tcPr>
          <w:p>
            <w:r>
              <w:rPr>
                <w:rFonts w:ascii="Arial" w:hAnsi="Arial"/>
                <w:b/>
                <w:i w:val="0"/>
                <w:color w:val="1F3864"/>
                <w:sz w:val="22"/>
              </w:rPr>
              <w:t>Harbor Crest Regional Medical Center</w:t>
            </w:r>
          </w:p>
        </w:tc>
        <w:tc>
          <w:tcPr>
            <w:tcW w:type="dxa" w:w="5184"/>
          </w:tcPr>
          <w:p>
            <w:pPr>
              <w:jc w:val="right"/>
            </w:pPr>
            <w:r>
              <w:rPr>
                <w:rFonts w:ascii="Arial" w:hAnsi="Arial"/>
                <w:b/>
                <w:i w:val="0"/>
                <w:color w:val="4472C4"/>
                <w:sz w:val="17"/>
              </w:rPr>
              <w:t>Confidential</w:t>
            </w:r>
          </w:p>
        </w:tc>
      </w:tr>
    </w:tbl>
    <w:tbl>
      <w:tblPr>
        <w:tblW w:type="auto" w:w="0"/>
        <w:tblLook w:firstColumn="1" w:firstRow="1" w:lastColumn="0" w:lastRow="0" w:noHBand="0" w:noVBand="1" w:val="04A0"/>
        <w:tblBorders>
          <w:top w:val="none"/>
          <w:left w:val="none"/>
          <w:bottom w:val="none"/>
          <w:right w:val="none"/>
          <w:insideH w:val="none"/>
          <w:insideV w:val="none"/>
        </w:tblBorders>
      </w:tblPr>
      <w:tblGrid>
        <w:gridCol w:w="10368"/>
      </w:tblGrid>
      <w:tr>
        <w:trPr>
          <w:trHeight w:val="40"/>
        </w:trPr>
        <w:tc>
          <w:tcPr>
            <w:tcW w:type="dxa" w:w="10368"/>
            <w:shd w:val="clear" w:fill="4472C4"/>
          </w:tcPr>
          <w:p/>
        </w:tc>
      </w:tr>
    </w:tbl>
    <w:tbl>
      <w:tblPr>
        <w:tblW w:type="auto" w:w="0"/>
        <w:tblLook w:firstColumn="1" w:firstRow="1" w:lastColumn="0" w:lastRow="0" w:noHBand="0" w:noVBand="1" w:val="04A0"/>
        <w:tblBorders>
          <w:top w:val="single" w:sz="4" w:color="C9D4EA"/>
          <w:left w:val="single" w:sz="4" w:color="C9D4EA"/>
          <w:bottom w:val="single" w:sz="4" w:color="C9D4EA"/>
          <w:right w:val="single" w:sz="4" w:color="C9D4EA"/>
          <w:insideH w:val="single" w:sz="4" w:color="C9D4EA"/>
          <w:insideV w:val="single" w:sz="4" w:color="C9D4EA"/>
        </w:tblBorders>
      </w:tblPr>
      <w:tblGrid>
        <w:gridCol w:w="2592"/>
        <w:gridCol w:w="2592"/>
        <w:gridCol w:w="2592"/>
        <w:gridCol w:w="2592"/>
      </w:tblGrid>
      <w:tr>
        <w:tc>
          <w:tcPr>
            <w:tcW w:type="dxa" w:w="7776"/>
            <w:gridSpan w:val="3"/>
            <w:shd w:val="clear" w:fill="4472C4"/>
          </w:tcPr>
          <w:p>
            <w:r>
              <w:rPr>
                <w:rFonts w:ascii="Arial" w:hAnsi="Arial"/>
                <w:b/>
                <w:i w:val="0"/>
                <w:color w:val="FFFFFF"/>
                <w:sz w:val="26"/>
              </w:rPr>
              <w:t xml:space="preserve">  Ondina Vasquell</w:t>
            </w:r>
            <w:r>
              <w:rPr>
                <w:rFonts w:ascii="Arial" w:hAnsi="Arial"/>
                <w:b w:val="0"/>
                <w:i w:val="0"/>
                <w:color w:val="FFFFFF"/>
                <w:sz w:val="18"/>
              </w:rPr>
              <w:t xml:space="preserve">    68 y  |  Female  |  DOB 03/14/1958</w:t>
            </w:r>
          </w:p>
        </w:tc>
        <w:tc>
          <w:tcPr>
            <w:tcW w:type="dxa" w:w="2592"/>
            <w:shd w:val="clear" w:fill="4472C4"/>
          </w:tcPr>
          <w:p>
            <w:pPr>
              <w:jc w:val="right"/>
            </w:pPr>
            <w:r>
              <w:rPr>
                <w:rFonts w:ascii="Arial" w:hAnsi="Arial"/>
                <w:b/>
                <w:i w:val="0"/>
                <w:color w:val="FFFFFF"/>
                <w:sz w:val="20"/>
              </w:rPr>
              <w:t xml:space="preserve">MRN OV-3358104  </w:t>
            </w:r>
          </w:p>
        </w:tc>
      </w:tr>
      <w:tr>
        <w:tc>
          <w:tcPr>
            <w:tcW w:type="dxa" w:w="2592"/>
            <w:shd w:val="clear" w:fill="EDF2FA"/>
          </w:tcPr>
          <w:p>
            <w:r>
              <w:rPr>
                <w:rFonts w:ascii="Arial" w:hAnsi="Arial"/>
                <w:b/>
                <w:i w:val="0"/>
                <w:color w:val="5E6670"/>
                <w:sz w:val="14"/>
              </w:rPr>
              <w:t>Date of Service</w:t>
              <w:br/>
            </w:r>
            <w:r>
              <w:rPr>
                <w:rFonts w:ascii="Arial" w:hAnsi="Arial"/>
                <w:b w:val="0"/>
                <w:i w:val="0"/>
                <w:color w:val="232830"/>
                <w:sz w:val="16"/>
              </w:rPr>
              <w:t>05/26/2026</w:t>
            </w:r>
          </w:p>
        </w:tc>
        <w:tc>
          <w:tcPr>
            <w:tcW w:type="dxa" w:w="2592"/>
            <w:shd w:val="clear" w:fill="EDF2FA"/>
          </w:tcPr>
          <w:p>
            <w:r>
              <w:rPr>
                <w:rFonts w:ascii="Arial" w:hAnsi="Arial"/>
                <w:b/>
                <w:i w:val="0"/>
                <w:color w:val="5E6670"/>
                <w:sz w:val="14"/>
              </w:rPr>
              <w:t>Author</w:t>
              <w:br/>
            </w:r>
            <w:r>
              <w:rPr>
                <w:rFonts w:ascii="Arial" w:hAnsi="Arial"/>
                <w:b w:val="0"/>
                <w:i w:val="0"/>
                <w:color w:val="232830"/>
                <w:sz w:val="16"/>
              </w:rPr>
              <w:t>Physician Advisor, Utilization Review</w:t>
            </w:r>
          </w:p>
        </w:tc>
        <w:tc>
          <w:tcPr>
            <w:tcW w:type="dxa" w:w="2592"/>
            <w:shd w:val="clear" w:fill="EDF2FA"/>
          </w:tcPr>
          <w:p>
            <w:r>
              <w:rPr>
                <w:rFonts w:ascii="Arial" w:hAnsi="Arial"/>
                <w:b/>
                <w:i w:val="0"/>
                <w:color w:val="5E6670"/>
                <w:sz w:val="14"/>
              </w:rPr>
              <w:t>Allergies</w:t>
              <w:br/>
            </w:r>
            <w:r>
              <w:rPr>
                <w:rFonts w:ascii="Arial" w:hAnsi="Arial"/>
                <w:b w:val="0"/>
                <w:i w:val="0"/>
                <w:color w:val="232830"/>
                <w:sz w:val="16"/>
              </w:rPr>
              <w:t>Sulfa (sulfonamide antibiotics) - rash</w:t>
            </w:r>
          </w:p>
        </w:tc>
        <w:tc>
          <w:tcPr>
            <w:tcW w:type="dxa" w:w="2592"/>
            <w:shd w:val="clear" w:fill="EDF2FA"/>
          </w:tcPr>
          <w:p>
            <w:r>
              <w:rPr>
                <w:rFonts w:ascii="Arial" w:hAnsi="Arial"/>
                <w:b/>
                <w:i w:val="0"/>
                <w:color w:val="5E6670"/>
                <w:sz w:val="14"/>
              </w:rPr>
              <w:t>Document</w:t>
              <w:br/>
            </w:r>
            <w:r>
              <w:rPr>
                <w:rFonts w:ascii="Arial" w:hAnsi="Arial"/>
                <w:b w:val="0"/>
                <w:i w:val="0"/>
                <w:color w:val="232830"/>
                <w:sz w:val="16"/>
              </w:rPr>
              <w:t>CONTINUED STAY DETERMINATION</w:t>
            </w:r>
          </w:p>
        </w:tc>
      </w:tr>
    </w:tbl>
    <w:p/>
    <w:p>
      <w:r>
        <w:rPr>
          <w:rFonts w:ascii="Arial" w:hAnsi="Arial"/>
          <w:b/>
          <w:i w:val="0"/>
          <w:color w:val="1F3864"/>
          <w:sz w:val="28"/>
        </w:rPr>
        <w:t>PHYSICIAN-ADVISOR CONTINUED-STAY DETERMINATION</w:t>
      </w:r>
    </w:p>
    <w:p>
      <w:r>
        <w:rPr>
          <w:rFonts w:ascii="Arial" w:hAnsi="Arial"/>
          <w:b w:val="0"/>
          <w:i w:val="0"/>
          <w:color w:val="5E6670"/>
          <w:sz w:val="16"/>
        </w:rPr>
        <w:t>Author: Physician Advisor, Utilization Review | Date of Service: 05/26/2026 1100 | Status: Draft for physician sign</w:t>
      </w:r>
    </w:p>
    <w:p>
      <w:pPr>
        <w:spacing w:before="180" w:after="60"/>
        <w:pBdr>
          <w:bottom w:val="single" w:sz="6" w:color="C9D4EA" w:space="2"/>
        </w:pBdr>
      </w:pPr>
      <w:r>
        <w:rPr>
          <w:rFonts w:ascii="Arial" w:hAnsi="Arial"/>
          <w:b/>
          <w:i w:val="0"/>
          <w:color w:val="4472C4"/>
          <w:sz w:val="20"/>
        </w:rPr>
        <w:t>PATIENT / ENCOUNTER</w:t>
      </w:r>
    </w:p>
    <w:p>
      <w:r>
        <w:rPr>
          <w:rFonts w:ascii="Arial" w:hAnsi="Arial"/>
          <w:b/>
          <w:i w:val="0"/>
          <w:color w:val="232830"/>
          <w:sz w:val="18"/>
        </w:rPr>
        <w:t xml:space="preserve">Patient: </w:t>
      </w:r>
      <w:r>
        <w:rPr>
          <w:rFonts w:ascii="Arial" w:hAnsi="Arial"/>
          <w:b w:val="0"/>
          <w:i w:val="0"/>
          <w:color w:val="232830"/>
          <w:sz w:val="18"/>
        </w:rPr>
        <w:t>Ondina Vasquell, 68 y</w:t>
      </w:r>
    </w:p>
    <w:p>
      <w:r>
        <w:rPr>
          <w:rFonts w:ascii="Arial" w:hAnsi="Arial"/>
          <w:b/>
          <w:i w:val="0"/>
          <w:color w:val="232830"/>
          <w:sz w:val="18"/>
        </w:rPr>
        <w:t xml:space="preserve">Sex / DOB: </w:t>
      </w:r>
      <w:r>
        <w:rPr>
          <w:rFonts w:ascii="Arial" w:hAnsi="Arial"/>
          <w:b w:val="0"/>
          <w:i w:val="0"/>
          <w:color w:val="232830"/>
          <w:sz w:val="18"/>
        </w:rPr>
        <w:t>Female / 03/14/1958</w:t>
      </w:r>
    </w:p>
    <w:p>
      <w:r>
        <w:rPr>
          <w:rFonts w:ascii="Arial" w:hAnsi="Arial"/>
          <w:b/>
          <w:i w:val="0"/>
          <w:color w:val="232830"/>
          <w:sz w:val="18"/>
        </w:rPr>
        <w:t xml:space="preserve">MRN / FIN: </w:t>
      </w:r>
      <w:r>
        <w:rPr>
          <w:rFonts w:ascii="Arial" w:hAnsi="Arial"/>
          <w:b w:val="0"/>
          <w:i w:val="0"/>
          <w:color w:val="232830"/>
          <w:sz w:val="18"/>
        </w:rPr>
        <w:t>OV-3358104 / FIN-2207733</w:t>
      </w:r>
    </w:p>
    <w:p>
      <w:r>
        <w:rPr>
          <w:rFonts w:ascii="Arial" w:hAnsi="Arial"/>
          <w:b/>
          <w:i w:val="0"/>
          <w:color w:val="232830"/>
          <w:sz w:val="18"/>
        </w:rPr>
        <w:t xml:space="preserve">Unit / Room: </w:t>
      </w:r>
      <w:r>
        <w:rPr>
          <w:rFonts w:ascii="Arial" w:hAnsi="Arial"/>
          <w:b w:val="0"/>
          <w:i w:val="0"/>
          <w:color w:val="232830"/>
          <w:sz w:val="18"/>
        </w:rPr>
        <w:t>6 South Medicine / 6S-214</w:t>
      </w:r>
    </w:p>
    <w:p>
      <w:r>
        <w:rPr>
          <w:rFonts w:ascii="Arial" w:hAnsi="Arial"/>
          <w:b/>
          <w:i w:val="0"/>
          <w:color w:val="232830"/>
          <w:sz w:val="18"/>
        </w:rPr>
        <w:t xml:space="preserve">Code Status: </w:t>
      </w:r>
      <w:r>
        <w:rPr>
          <w:rFonts w:ascii="Arial" w:hAnsi="Arial"/>
          <w:b w:val="0"/>
          <w:i w:val="0"/>
          <w:color w:val="232830"/>
          <w:sz w:val="18"/>
        </w:rPr>
        <w:t>Full Code</w:t>
      </w:r>
    </w:p>
    <w:p>
      <w:r>
        <w:rPr>
          <w:rFonts w:ascii="Arial" w:hAnsi="Arial"/>
          <w:b/>
          <w:i w:val="0"/>
          <w:color w:val="232830"/>
          <w:sz w:val="18"/>
        </w:rPr>
        <w:t xml:space="preserve">Allergies: </w:t>
      </w:r>
      <w:r>
        <w:rPr>
          <w:rFonts w:ascii="Arial" w:hAnsi="Arial"/>
          <w:b w:val="0"/>
          <w:i w:val="0"/>
          <w:color w:val="232830"/>
          <w:sz w:val="18"/>
        </w:rPr>
        <w:t>Sulfa (sulfonamide antibiotics) - rash</w:t>
      </w:r>
    </w:p>
    <w:p>
      <w:r>
        <w:rPr>
          <w:rFonts w:ascii="Arial" w:hAnsi="Arial"/>
          <w:b/>
          <w:i w:val="0"/>
          <w:color w:val="232830"/>
          <w:sz w:val="18"/>
        </w:rPr>
        <w:t xml:space="preserve">Attending: </w:t>
      </w:r>
      <w:r>
        <w:rPr>
          <w:rFonts w:ascii="Arial" w:hAnsi="Arial"/>
          <w:b w:val="0"/>
          <w:i w:val="0"/>
          <w:color w:val="232830"/>
          <w:sz w:val="18"/>
        </w:rPr>
        <w:t>Lillian Everet, MD</w:t>
      </w:r>
    </w:p>
    <w:p>
      <w:r>
        <w:rPr>
          <w:rFonts w:ascii="Arial" w:hAnsi="Arial"/>
          <w:b/>
          <w:i w:val="0"/>
          <w:color w:val="232830"/>
          <w:sz w:val="18"/>
        </w:rPr>
        <w:t xml:space="preserve">Service: </w:t>
      </w:r>
      <w:r>
        <w:rPr>
          <w:rFonts w:ascii="Arial" w:hAnsi="Arial"/>
          <w:b w:val="0"/>
          <w:i w:val="0"/>
          <w:color w:val="232830"/>
          <w:sz w:val="18"/>
        </w:rPr>
        <w:t>Hospital Medicine</w:t>
      </w:r>
    </w:p>
    <w:p>
      <w:r>
        <w:rPr>
          <w:rFonts w:ascii="Arial" w:hAnsi="Arial"/>
          <w:b/>
          <w:i w:val="0"/>
          <w:color w:val="232830"/>
          <w:sz w:val="18"/>
        </w:rPr>
        <w:t xml:space="preserve">Date of Service: </w:t>
      </w:r>
      <w:r>
        <w:rPr>
          <w:rFonts w:ascii="Arial" w:hAnsi="Arial"/>
          <w:b w:val="0"/>
          <w:i w:val="0"/>
          <w:color w:val="232830"/>
          <w:sz w:val="18"/>
        </w:rPr>
        <w:t>05/26/2026</w:t>
      </w:r>
    </w:p>
    <w:p>
      <w:r>
        <w:rPr>
          <w:rFonts w:ascii="Arial" w:hAnsi="Arial"/>
          <w:b/>
          <w:i w:val="0"/>
          <w:color w:val="232830"/>
          <w:sz w:val="18"/>
        </w:rPr>
        <w:t xml:space="preserve">Language: </w:t>
      </w:r>
      <w:r>
        <w:rPr>
          <w:rFonts w:ascii="Arial" w:hAnsi="Arial"/>
          <w:b w:val="0"/>
          <w:i w:val="0"/>
          <w:color w:val="232830"/>
          <w:sz w:val="18"/>
        </w:rPr>
        <w:t>Spanish preferred (interpreter used)</w:t>
      </w:r>
    </w:p>
    <w:p>
      <w:pPr>
        <w:spacing w:before="180" w:after="60"/>
        <w:pBdr>
          <w:bottom w:val="single" w:sz="6" w:color="C9D4EA" w:space="2"/>
        </w:pBdr>
      </w:pPr>
      <w:r>
        <w:rPr>
          <w:rFonts w:ascii="Arial" w:hAnsi="Arial"/>
          <w:b/>
          <w:i w:val="0"/>
          <w:color w:val="4472C4"/>
          <w:sz w:val="20"/>
        </w:rPr>
        <w:t>DETERMINATION</w:t>
      </w:r>
    </w:p>
    <w:p>
      <w:r>
        <w:rPr>
          <w:rFonts w:ascii="Arial" w:hAnsi="Arial"/>
          <w:b w:val="0"/>
          <w:i w:val="0"/>
          <w:color w:val="232830"/>
          <w:sz w:val="19"/>
        </w:rPr>
        <w:t>I reviewed the first-level continued-stay worksheet. I do not adopt the preliminary lower-level determination. Continued facility-level or skilled-level care is justified as of 05/26/2026. The patient does not meet criteria for a safe step-down to an unsupported home setting.</w:t>
      </w:r>
    </w:p>
    <w:p>
      <w:pPr>
        <w:spacing w:before="180" w:after="60"/>
        <w:pBdr>
          <w:bottom w:val="single" w:sz="6" w:color="C9D4EA" w:space="2"/>
        </w:pBdr>
      </w:pPr>
      <w:r>
        <w:rPr>
          <w:rFonts w:ascii="Arial" w:hAnsi="Arial"/>
          <w:b/>
          <w:i w:val="0"/>
          <w:color w:val="4472C4"/>
          <w:sz w:val="20"/>
        </w:rPr>
        <w:t>LOAD-BEARING CORRECTION</w:t>
      </w:r>
    </w:p>
    <w:p>
      <w:r>
        <w:rPr>
          <w:rFonts w:ascii="Arial" w:hAnsi="Arial"/>
          <w:b w:val="0"/>
          <w:i w:val="0"/>
          <w:color w:val="232830"/>
          <w:sz w:val="19"/>
        </w:rPr>
        <w:t>The worksheet states the patient was transitioned to oral antibiotics. That is not supported. The medication record shows ongoing intravenous vancomycin, piperacillin-tazobactam, and cefepime through 05/21, and no oral regimen has been established. The documented sulfa allergy excludes trimethoprim-sulfamethoxazole despite susceptibility, and Infectious Disease has not finalized an oral step-down. The patient requires ongoing parenteral antibiotics for a limb-threatening infection, with no OPAT or home infusion arranged, and home-health wound nursing does not administer intravenous antibiotics. This alone makes discharge home unsafe and is the decisive error in the worksheet.</w:t>
      </w:r>
    </w:p>
    <w:p>
      <w:pPr>
        <w:spacing w:before="180" w:after="60"/>
        <w:pBdr>
          <w:bottom w:val="single" w:sz="6" w:color="C9D4EA" w:space="2"/>
        </w:pBdr>
      </w:pPr>
      <w:r>
        <w:rPr>
          <w:rFonts w:ascii="Arial" w:hAnsi="Arial"/>
          <w:b/>
          <w:i w:val="0"/>
          <w:color w:val="4472C4"/>
          <w:sz w:val="20"/>
        </w:rPr>
        <w:t>CRITERIA APPLIED, BOTH SIDES</w:t>
      </w:r>
    </w:p>
    <w:p>
      <w:pPr>
        <w:pStyle w:val="ListBullet"/>
        <w:spacing w:after="30"/>
      </w:pPr>
      <w:r>
        <w:rPr>
          <w:rFonts w:ascii="Arial" w:hAnsi="Arial"/>
          <w:b w:val="0"/>
          <w:i w:val="0"/>
          <w:color w:val="232830"/>
          <w:sz w:val="19"/>
        </w:rPr>
        <w:t>Improvement: afebrile, white count normalized to 8.9, creatinine improved to 1.6 near baseline. A treated infection and a recovering kidney injury.</w:t>
      </w:r>
    </w:p>
    <w:p>
      <w:pPr>
        <w:pStyle w:val="ListBullet"/>
        <w:spacing w:after="30"/>
      </w:pPr>
      <w:r>
        <w:rPr>
          <w:rFonts w:ascii="Arial" w:hAnsi="Arial"/>
          <w:b w:val="0"/>
          <w:i w:val="0"/>
          <w:color w:val="232830"/>
          <w:sz w:val="19"/>
        </w:rPr>
        <w:t>Active barriers: the parenteral antibiotic requirement above is the decisive one. Perfusion is also open on the formal study (noncompressible ankle indices, left toe pressure 55 mmHg, TBI 0.50), and the worksheet's home-readiness claims are optimistic, occupational-therapy offloading teach-back was not achieved and the home is a second-floor walk-up with limited caregiver coverage.</w:t>
      </w:r>
    </w:p>
    <w:p>
      <w:pPr>
        <w:pStyle w:val="ListBullet"/>
        <w:spacing w:after="30"/>
      </w:pPr>
      <w:r>
        <w:rPr>
          <w:rFonts w:ascii="Arial" w:hAnsi="Arial"/>
          <w:b w:val="0"/>
          <w:i w:val="0"/>
          <w:color w:val="232830"/>
          <w:sz w:val="19"/>
        </w:rPr>
        <w:t>Weighing: improving markers are not discharge readiness while the patient needs inpatient-administered intravenous antibiotics. The worksheet underweights the antibiotic route and overstates home readiness.</w:t>
      </w:r>
    </w:p>
    <w:p>
      <w:pPr>
        <w:spacing w:before="180" w:after="60"/>
        <w:pBdr>
          <w:bottom w:val="single" w:sz="6" w:color="C9D4EA" w:space="2"/>
        </w:pBdr>
      </w:pPr>
      <w:r>
        <w:rPr>
          <w:rFonts w:ascii="Arial" w:hAnsi="Arial"/>
          <w:b/>
          <w:i w:val="0"/>
          <w:color w:val="4472C4"/>
          <w:sz w:val="20"/>
        </w:rPr>
        <w:t>FINAL PHYSICIAN-ADVISOR ACTION</w:t>
      </w:r>
    </w:p>
    <w:p>
      <w:r>
        <w:rPr>
          <w:rFonts w:ascii="Arial" w:hAnsi="Arial"/>
          <w:b w:val="0"/>
          <w:i w:val="0"/>
          <w:color w:val="232830"/>
          <w:sz w:val="19"/>
        </w:rPr>
        <w:t>Approve continued facility-level or skilled-level stay for 05/26/2026. Do not adopt the worksheet's lower-level position. Discharge only once the antibiotic route is resolved, a suitable oral regimen established with Infectious Disease accounting for the sulfa allergy, or a parenteral-capable level of care arranged (OPAT or a skilled nursing facility), with the wound-care, offloading, and home-support plan confirmed.</w:t>
      </w:r>
    </w:p>
    <w:p>
      <w:pPr>
        <w:spacing w:before="200"/>
        <w:pBdr>
          <w:top w:val="single" w:sz="4" w:color="C9D4EA" w:space="4"/>
        </w:pBdr>
      </w:pPr>
      <w:r>
        <w:rPr>
          <w:rFonts w:ascii="Arial" w:hAnsi="Arial"/>
          <w:b w:val="0"/>
          <w:i/>
          <w:color w:val="5E6670"/>
          <w:sz w:val="18"/>
        </w:rPr>
        <w:t>Electronically signed by Physician Advisor | Utilization Review | 05/26/2026 1100</w:t>
      </w:r>
    </w:p>
    <w:sectPr w:rsidR="00FC693F" w:rsidRPr="0006063C" w:rsidSect="00034616">
      <w:headerReference w:type="default" r:id="rId9"/>
      <w:footerReference w:type="default" r:id="rId10"/>
      <w:headerReference w:type="even" r:id="rId11"/>
      <w:footerReference w:type="even" r:id="rId12"/>
      <w:headerReference w:type="first" r:id="rId13"/>
      <w:footerReference w:type="first" r:id="rId14"/>
      <w:pgSz w:w="12240" w:h="15840"/>
      <w:pgMar w:top="720"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CONTINUED STAY DETERMINATION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CONTINUED STAY DETERMINATION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CONTINUED STAY DETERMINATION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