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100" w:line="280" w:lineRule="auto"/>
      </w:pPr>
      <w:r>
        <w:rPr>
          <w:rFonts w:ascii="Arial" w:hAnsi="Arial"/>
          <w:b/>
          <w:color w:val="111827"/>
          <w:sz w:val="38"/>
        </w:rPr>
        <w:t>Ondina Vasquell Brainstorm Claude Transcript</w:t>
      </w:r>
    </w:p>
    <w:p>
      <w:pPr>
        <w:spacing w:before="0" w:after="60" w:line="250" w:lineRule="auto"/>
      </w:pPr>
      <w:r>
        <w:rPr>
          <w:rFonts w:ascii="Arial" w:hAnsi="Arial"/>
          <w:color w:val="374151"/>
          <w:sz w:val="20"/>
        </w:rPr>
        <w:t>Run: 7a6fd723-a3d7-487c-a6b2-798df59e5c91</w:t>
      </w:r>
    </w:p>
    <w:p>
      <w:pPr>
        <w:spacing w:before="0" w:after="60" w:line="250" w:lineRule="auto"/>
      </w:pPr>
      <w:r>
        <w:rPr>
          <w:rFonts w:ascii="Arial" w:hAnsi="Arial"/>
          <w:color w:val="374151"/>
          <w:sz w:val="20"/>
        </w:rPr>
        <w:t>Source: https://claude.ai/share/7a6fd723-a3d7-487c-a6b2-798df59e5c91</w:t>
      </w:r>
    </w:p>
    <w:p>
      <w:pPr>
        <w:spacing w:before="0" w:after="60" w:line="250" w:lineRule="auto"/>
      </w:pPr>
      <w:r>
        <w:rPr>
          <w:rFonts w:ascii="Arial" w:hAnsi="Arial"/>
          <w:color w:val="374151"/>
          <w:sz w:val="20"/>
        </w:rPr>
        <w:t>Session date: June 12, 2026</w:t>
      </w:r>
    </w:p>
    <w:p>
      <w:pPr>
        <w:spacing w:before="0" w:after="60" w:line="250" w:lineRule="auto"/>
      </w:pPr>
      <w:r>
        <w:rPr>
          <w:rFonts w:ascii="Arial" w:hAnsi="Arial"/>
          <w:color w:val="374151"/>
          <w:sz w:val="20"/>
        </w:rPr>
        <w:t>Scope: Brainstorm design, critique, AutoQC response, and readiness check</w:t>
      </w:r>
    </w:p>
    <w:p>
      <w:pPr>
        <w:spacing w:before="0" w:after="60" w:line="250" w:lineRule="auto"/>
      </w:pPr>
      <w:r>
        <w:rPr>
          <w:rFonts w:ascii="Arial" w:hAnsi="Arial"/>
          <w:color w:val="374151"/>
          <w:sz w:val="20"/>
        </w:rPr>
        <w:t>Status at close: Brainstorm AutoQC passed, pending human Brainstorm review</w:t>
      </w:r>
    </w:p>
    <w:p>
      <w:pPr>
        <w:spacing w:before="280" w:after="20" w:line="250" w:lineRule="auto"/>
      </w:pPr>
      <w:r>
        <w:rPr>
          <w:rFonts w:ascii="Arial" w:hAnsi="Arial"/>
          <w:b/>
          <w:color w:val="1F4D78"/>
          <w:sz w:val="24"/>
        </w:rPr>
        <w:t>1.</w:t>
      </w:r>
    </w:p>
    <w:p>
      <w:pPr>
        <w:spacing w:before="60" w:after="60" w:line="250" w:lineRule="auto"/>
      </w:pPr>
      <w:r>
        <w:rPr>
          <w:rFonts w:ascii="Arial" w:hAnsi="Arial"/>
          <w:b/>
          <w:color w:val="6B7280"/>
          <w:sz w:val="22"/>
        </w:rPr>
        <w:t>System</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8FAFC"/>
            <w:tcBorders>
              <w:top w:val="single" w:sz="6" w:space="0" w:color="CBD5E1"/>
              <w:right w:val="single" w:sz="6" w:space="0" w:color="CBD5E1"/>
              <w:bottom w:val="single" w:sz="6" w:space="0" w:color="CBD5E1"/>
              <w:left w:val="single" w:sz="14" w:space="0" w:color="6B7280"/>
            </w:tcBorders>
          </w:tcPr>
          <w:p>
            <w:pPr>
              <w:spacing w:before="0" w:after="20" w:line="232" w:lineRule="auto"/>
            </w:pPr>
            <w:r>
              <w:rPr>
                <w:rFonts w:ascii="Courier New" w:hAnsi="Courier New"/>
                <w:color w:val="111827"/>
                <w:sz w:val="17"/>
              </w:rPr>
              <w:t>Human: You are supporting Dr. Alexander Udeogaranya on clinical world building. Stay in Brainstorm scope. Do not build files, do not draft the World Spec, and do not take platform action. Help organize candidate selection, task variety, fairness gates, and reviewer readiness.</w:t>
            </w:r>
          </w:p>
        </w:tc>
      </w:tr>
    </w:tbl>
    <w:p>
      <w:pPr>
        <w:spacing w:before="0" w:after="60" w:line="200" w:lineRule="auto"/>
      </w:pPr>
    </w:p>
    <w:p/>
    <w:p>
      <w:pPr>
        <w:spacing w:before="280" w:after="20" w:line="250" w:lineRule="auto"/>
      </w:pPr>
      <w:r>
        <w:rPr>
          <w:rFonts w:ascii="Arial" w:hAnsi="Arial"/>
          <w:b/>
          <w:color w:val="1F4D78"/>
          <w:sz w:val="24"/>
        </w:rPr>
        <w:t>2.</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I need help planning the next world. In this world, we missed the task and trap architecture early enough. Do not build. Make sure the planning materials are a ready-to-go imaginative playground for internal medicine worlds.</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Understood. I will keep this as planning only.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next world needs to start from the task layer, not from a generic patient chart. I would treat the early gate as: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Pick a clinical case that can support ten different physician-facing workflows.</w:t>
            </w:r>
          </w:p>
          <w:p>
            <w:pPr>
              <w:spacing w:before="0" w:after="20" w:line="232" w:lineRule="auto"/>
            </w:pPr>
            <w:r>
              <w:rPr>
                <w:rFonts w:ascii="Courier New" w:hAnsi="Courier New"/>
                <w:color w:val="111827"/>
                <w:sz w:val="17"/>
              </w:rPr>
              <w:t>2. Make sure the world files later provide raw material, not the answer key.</w:t>
            </w:r>
          </w:p>
          <w:p>
            <w:pPr>
              <w:spacing w:before="0" w:after="20" w:line="232" w:lineRule="auto"/>
            </w:pPr>
            <w:r>
              <w:rPr>
                <w:rFonts w:ascii="Courier New" w:hAnsi="Courier New"/>
                <w:color w:val="111827"/>
                <w:sz w:val="17"/>
              </w:rPr>
              <w:t>3. Build traps that come from realistic source conflict, timing, authorship, payer pressure, or incomplete data.</w:t>
            </w:r>
          </w:p>
          <w:p>
            <w:pPr>
              <w:spacing w:before="0" w:after="20" w:line="232" w:lineRule="auto"/>
            </w:pPr>
            <w:r>
              <w:rPr>
                <w:rFonts w:ascii="Courier New" w:hAnsi="Courier New"/>
                <w:color w:val="111827"/>
                <w:sz w:val="17"/>
              </w:rPr>
              <w:t>4. Keep same-author drafts fair by using placeholders or explicit correction instructions.</w:t>
            </w:r>
          </w:p>
          <w:p>
            <w:pPr>
              <w:spacing w:before="0" w:after="20" w:line="232" w:lineRule="auto"/>
            </w:pPr>
            <w:r>
              <w:rPr>
                <w:rFonts w:ascii="Courier New" w:hAnsi="Courier New"/>
                <w:color w:val="111827"/>
                <w:sz w:val="17"/>
              </w:rPr>
              <w:t>5. Keep every task self-contained without requiring public medical knowledge after July 31, 2025.</w:t>
            </w:r>
          </w:p>
        </w:tc>
      </w:tr>
    </w:tbl>
    <w:p>
      <w:pPr>
        <w:spacing w:before="0" w:after="60" w:line="200" w:lineRule="auto"/>
      </w:pPr>
    </w:p>
    <w:p/>
    <w:p>
      <w:pPr>
        <w:spacing w:before="280" w:after="20" w:line="250" w:lineRule="auto"/>
      </w:pPr>
      <w:r>
        <w:rPr>
          <w:rFonts w:ascii="Arial" w:hAnsi="Arial"/>
          <w:b/>
          <w:color w:val="1F4D78"/>
          <w:sz w:val="24"/>
        </w:rPr>
        <w:t>3.</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No ten repeated summaries. Give me ten complex internal medicine cases, then we check them against the Korvin lessons and pick the one that truly tests the model.</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The strongest candidates are ordinary high-stakes admissions with messy documentation, competing specialties, and administrative surfaces. I would rank the slate this way: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Limb-threat diabetic foot infection with vascular disease, renal dosing, payer denial, wound care, offloading, coding, and quality abstraction.</w:t>
            </w:r>
          </w:p>
          <w:p>
            <w:pPr>
              <w:spacing w:before="0" w:after="20" w:line="232" w:lineRule="auto"/>
            </w:pPr>
            <w:r>
              <w:rPr>
                <w:rFonts w:ascii="Courier New" w:hAnsi="Courier New"/>
                <w:color w:val="111827"/>
                <w:sz w:val="17"/>
              </w:rPr>
              <w:t>2. Decompensated cirrhosis with transplant, encephalopathy, infection uncertainty, renal injury, nutrition, and discharge placement tension.</w:t>
            </w:r>
          </w:p>
          <w:p>
            <w:pPr>
              <w:spacing w:before="0" w:after="20" w:line="232" w:lineRule="auto"/>
            </w:pPr>
            <w:r>
              <w:rPr>
                <w:rFonts w:ascii="Courier New" w:hAnsi="Courier New"/>
                <w:color w:val="111827"/>
                <w:sz w:val="17"/>
              </w:rPr>
              <w:t>3. COPD and heart failure overlap with oxygen qualification, steroids, infection uncertainty, and readmission risk.</w:t>
            </w:r>
          </w:p>
          <w:p>
            <w:pPr>
              <w:spacing w:before="0" w:after="20" w:line="232" w:lineRule="auto"/>
            </w:pPr>
            <w:r>
              <w:rPr>
                <w:rFonts w:ascii="Courier New" w:hAnsi="Courier New"/>
                <w:color w:val="111827"/>
                <w:sz w:val="17"/>
              </w:rPr>
              <w:t>4. Anticoagulation complication with GI bleed, atrial fibrillation, procedure timing, restart timing, and prior authorization.</w:t>
            </w:r>
          </w:p>
          <w:p>
            <w:pPr>
              <w:spacing w:before="0" w:after="20" w:line="232" w:lineRule="auto"/>
            </w:pPr>
            <w:r>
              <w:rPr>
                <w:rFonts w:ascii="Courier New" w:hAnsi="Courier New"/>
                <w:color w:val="111827"/>
                <w:sz w:val="17"/>
              </w:rPr>
              <w:t>5. Cancer-associated thrombosis with infection, nutrition, pain, and home infusion planning.</w:t>
            </w:r>
          </w:p>
          <w:p>
            <w:pPr>
              <w:spacing w:before="0" w:after="20" w:line="232" w:lineRule="auto"/>
            </w:pPr>
            <w:r>
              <w:rPr>
                <w:rFonts w:ascii="Courier New" w:hAnsi="Courier New"/>
                <w:color w:val="111827"/>
                <w:sz w:val="17"/>
              </w:rPr>
              <w:t>6. Stroke mimic or TIA workup with functional decline, imaging ambiguity, and rehab disposition.</w:t>
            </w:r>
          </w:p>
          <w:p>
            <w:pPr>
              <w:spacing w:before="0" w:after="20" w:line="232" w:lineRule="auto"/>
            </w:pPr>
            <w:r>
              <w:rPr>
                <w:rFonts w:ascii="Courier New" w:hAnsi="Courier New"/>
                <w:color w:val="111827"/>
                <w:sz w:val="17"/>
              </w:rPr>
              <w:t>7. Endocarditis rule-out with bacteremia, line access, echo timing, and OPAT planning.</w:t>
            </w:r>
          </w:p>
          <w:p>
            <w:pPr>
              <w:spacing w:before="0" w:after="20" w:line="232" w:lineRule="auto"/>
            </w:pPr>
            <w:r>
              <w:rPr>
                <w:rFonts w:ascii="Courier New" w:hAnsi="Courier New"/>
                <w:color w:val="111827"/>
                <w:sz w:val="17"/>
              </w:rPr>
              <w:t>8. Complex pneumonia with aspiration, dysphagia, antibiotics, and SNF placement.</w:t>
            </w:r>
          </w:p>
          <w:p>
            <w:pPr>
              <w:spacing w:before="0" w:after="20" w:line="232" w:lineRule="auto"/>
            </w:pPr>
            <w:r>
              <w:rPr>
                <w:rFonts w:ascii="Courier New" w:hAnsi="Courier New"/>
                <w:color w:val="111827"/>
                <w:sz w:val="17"/>
              </w:rPr>
              <w:t>9. Older adult fall with rhabdomyolysis, delirium, medication holds, and capacity questions.</w:t>
            </w:r>
          </w:p>
          <w:p>
            <w:pPr>
              <w:spacing w:before="0" w:after="20" w:line="232" w:lineRule="auto"/>
            </w:pPr>
            <w:r>
              <w:rPr>
                <w:rFonts w:ascii="Courier New" w:hAnsi="Courier New"/>
                <w:color w:val="111827"/>
                <w:sz w:val="17"/>
              </w:rPr>
              <w:t>10. Severe anemia with CKD, occult bleeding concern, transfusion threshold, coding, and outpatient follow-up.</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Recommendation: choose diabetic foot infection with limb threat. It is common enough to be clinically fair, but it creates many non-textbook failure routes. The model will know diabetes in general, but it will not automatically reconcile culture hierarchy, equivocal osteomyelitis, perfusion uncertainty, offloading logistics, payer logic, and wound documentation together.</w:t>
            </w:r>
          </w:p>
        </w:tc>
      </w:tr>
    </w:tbl>
    <w:p>
      <w:pPr>
        <w:spacing w:before="0" w:after="60" w:line="200" w:lineRule="auto"/>
      </w:pPr>
    </w:p>
    <w:p/>
    <w:p>
      <w:pPr>
        <w:spacing w:before="280" w:after="20" w:line="250" w:lineRule="auto"/>
      </w:pPr>
      <w:r>
        <w:rPr>
          <w:rFonts w:ascii="Arial" w:hAnsi="Arial"/>
          <w:b/>
          <w:color w:val="1F4D78"/>
          <w:sz w:val="24"/>
        </w:rPr>
        <w:t>4.</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The independent review agrees. We are ready. This needs to be comprehensive, complex, chaotic, and confusing. It should have many moving parts: personnel, departments, trainees, attendings, medical students, staff, payers, and family.</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I would center the world on a medically improving but operationally unsafe admission.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Clinical center:</w:t>
            </w:r>
          </w:p>
          <w:p>
            <w:pPr>
              <w:spacing w:before="0" w:after="20" w:line="232" w:lineRule="auto"/>
            </w:pPr>
            <w:r>
              <w:rPr>
                <w:rFonts w:ascii="Courier New" w:hAnsi="Courier New"/>
                <w:color w:val="111827"/>
                <w:sz w:val="17"/>
              </w:rPr>
              <w:t>Limb-threatening diabetic foot infection in an older adult with neuropathy, CKD, PAD, mobility limits, and caregiver constraints.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System center:</w:t>
            </w:r>
          </w:p>
          <w:p>
            <w:pPr>
              <w:spacing w:before="0" w:after="20" w:line="232" w:lineRule="auto"/>
            </w:pPr>
            <w:r>
              <w:rPr>
                <w:rFonts w:ascii="Courier New" w:hAnsi="Courier New"/>
                <w:color w:val="111827"/>
                <w:sz w:val="17"/>
              </w:rPr>
              <w:t>Hospital medicine is trying to close discharge. Podiatry, vascular surgery, infectious disease, pharmacy, case management, PT, OT, wound care, nursing, HIM, CDI, and a Medicare Advantage payer all create plausible but conflicting pressure.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Model weakness:</w:t>
            </w:r>
          </w:p>
          <w:p>
            <w:pPr>
              <w:spacing w:before="0" w:after="20" w:line="232" w:lineRule="auto"/>
            </w:pPr>
            <w:r>
              <w:rPr>
                <w:rFonts w:ascii="Courier New" w:hAnsi="Courier New"/>
                <w:color w:val="111827"/>
                <w:sz w:val="17"/>
              </w:rPr>
              <w:t>The model can summarize diabetic foot infection, but it often over-closes uncertainty, ratifies authoritative external documents, imports unsupported diagnoses, treats discharge readiness as medical stability alone, and misses source provenance.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Guardrail posture:</w:t>
            </w:r>
          </w:p>
          <w:p>
            <w:pPr>
              <w:spacing w:before="0" w:after="20" w:line="232" w:lineRule="auto"/>
            </w:pPr>
            <w:r>
              <w:rPr>
                <w:rFonts w:ascii="Courier New" w:hAnsi="Courier New"/>
                <w:color w:val="111827"/>
                <w:sz w:val="17"/>
              </w:rPr>
              <w:t>The world files should later provide raw clinical material. No discharge summary should pre-answer all traps. Each task should have its own forced slot and its own task-level trap.</w:t>
            </w:r>
          </w:p>
        </w:tc>
      </w:tr>
    </w:tbl>
    <w:p>
      <w:pPr>
        <w:spacing w:before="0" w:after="60" w:line="200" w:lineRule="auto"/>
      </w:pPr>
    </w:p>
    <w:p/>
    <w:p>
      <w:pPr>
        <w:spacing w:before="280" w:after="20" w:line="250" w:lineRule="auto"/>
      </w:pPr>
      <w:r>
        <w:rPr>
          <w:rFonts w:ascii="Arial" w:hAnsi="Arial"/>
          <w:b/>
          <w:color w:val="1F4D78"/>
          <w:sz w:val="24"/>
        </w:rPr>
        <w:t>5.</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Choose a name from the proposal and explain it to Claude to audit. Justify the patch and apply it.</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The clean name choice is Ondina Vasquell.</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Why it works: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It is distinctive enough to avoid collision with Korvin Merrow.</w:t>
            </w:r>
          </w:p>
          <w:p>
            <w:pPr>
              <w:spacing w:before="0" w:after="20" w:line="232" w:lineRule="auto"/>
            </w:pPr>
            <w:r>
              <w:rPr>
                <w:rFonts w:ascii="Courier New" w:hAnsi="Courier New"/>
                <w:color w:val="111827"/>
                <w:sz w:val="17"/>
              </w:rPr>
              <w:t>2. It fits the Spanish-preferred language texture without making ethnicity the trap.</w:t>
            </w:r>
          </w:p>
          <w:p>
            <w:pPr>
              <w:spacing w:before="0" w:after="20" w:line="232" w:lineRule="auto"/>
            </w:pPr>
            <w:r>
              <w:rPr>
                <w:rFonts w:ascii="Courier New" w:hAnsi="Courier New"/>
                <w:color w:val="111827"/>
                <w:sz w:val="17"/>
              </w:rPr>
              <w:t>3. It is fictional and stable across documents.</w:t>
            </w:r>
          </w:p>
          <w:p>
            <w:pPr>
              <w:spacing w:before="0" w:after="20" w:line="232" w:lineRule="auto"/>
            </w:pPr>
            <w:r>
              <w:rPr>
                <w:rFonts w:ascii="Courier New" w:hAnsi="Courier New"/>
                <w:color w:val="111827"/>
                <w:sz w:val="17"/>
              </w:rPr>
              <w:t>4. It avoids famous-patient or public-figure resonance.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Audit caveat:</w:t>
            </w:r>
          </w:p>
          <w:p>
            <w:pPr>
              <w:spacing w:before="0" w:after="20" w:line="232" w:lineRule="auto"/>
            </w:pPr>
            <w:r>
              <w:rPr>
                <w:rFonts w:ascii="Courier New" w:hAnsi="Courier New"/>
                <w:color w:val="111827"/>
                <w:sz w:val="17"/>
              </w:rPr>
              <w:t>Use one spelling everywhere. Do not let Ondine, Ordina, or Ondina drift across files. The final spelling should be Ondina Vasquell.</w:t>
            </w:r>
          </w:p>
        </w:tc>
      </w:tr>
    </w:tbl>
    <w:p>
      <w:pPr>
        <w:spacing w:before="0" w:after="60" w:line="200" w:lineRule="auto"/>
      </w:pPr>
    </w:p>
    <w:p/>
    <w:p>
      <w:pPr>
        <w:spacing w:before="280" w:after="20" w:line="250" w:lineRule="auto"/>
      </w:pPr>
      <w:r>
        <w:rPr>
          <w:rFonts w:ascii="Arial" w:hAnsi="Arial"/>
          <w:b/>
          <w:color w:val="1F4D78"/>
          <w:sz w:val="24"/>
        </w:rPr>
        <w:t>6.</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Ondina Vasquell.</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Locked.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Patient identity:</w:t>
            </w:r>
          </w:p>
          <w:p>
            <w:pPr>
              <w:spacing w:before="0" w:after="20" w:line="232" w:lineRule="auto"/>
            </w:pPr>
            <w:r>
              <w:rPr>
                <w:rFonts w:ascii="Courier New" w:hAnsi="Courier New"/>
                <w:color w:val="111827"/>
                <w:sz w:val="17"/>
              </w:rPr>
              <w:t>Ondina Vasquell.</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Use that spelling everywhere in the Brainstorm and later substrate. The identity gate should scan for variants before submission.</w:t>
            </w:r>
          </w:p>
        </w:tc>
      </w:tr>
    </w:tbl>
    <w:p>
      <w:pPr>
        <w:spacing w:before="0" w:after="60" w:line="200" w:lineRule="auto"/>
      </w:pPr>
    </w:p>
    <w:p/>
    <w:p>
      <w:pPr>
        <w:spacing w:before="280" w:after="20" w:line="250" w:lineRule="auto"/>
      </w:pPr>
      <w:r>
        <w:rPr>
          <w:rFonts w:ascii="Arial" w:hAnsi="Arial"/>
          <w:b/>
          <w:color w:val="1F4D78"/>
          <w:sz w:val="24"/>
        </w:rPr>
        <w:t>7.</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Answer the blocking decisions. Snapshot should sit where she is medically improving but unsafe. Payer denial should be central. Osteomyelitis should remain equivocal.</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Recommended decisions: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Snapshot:</w:t>
            </w:r>
          </w:p>
          <w:p>
            <w:pPr>
              <w:spacing w:before="0" w:after="20" w:line="232" w:lineRule="auto"/>
            </w:pPr>
            <w:r>
              <w:rPr>
                <w:rFonts w:ascii="Courier New" w:hAnsi="Courier New"/>
                <w:color w:val="111827"/>
                <w:sz w:val="17"/>
              </w:rPr>
              <w:t>May 21, 2026 at 18:00, hospital day 6.</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Reason:</w:t>
            </w:r>
          </w:p>
          <w:p>
            <w:pPr>
              <w:spacing w:before="0" w:after="20" w:line="232" w:lineRule="auto"/>
            </w:pPr>
            <w:r>
              <w:rPr>
                <w:rFonts w:ascii="Courier New" w:hAnsi="Courier New"/>
                <w:color w:val="111827"/>
                <w:sz w:val="17"/>
              </w:rPr>
              <w:t>This lets the chart show improvement in fever, white count, glucose control, and renal function, while leaving unresolved disposition, wound care, offloading, vascular adequacy, payer authorization, and family training.</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2. Task anchor pattern:</w:t>
            </w:r>
          </w:p>
          <w:p>
            <w:pPr>
              <w:spacing w:before="0" w:after="20" w:line="232" w:lineRule="auto"/>
            </w:pPr>
            <w:r>
              <w:rPr>
                <w:rFonts w:ascii="Courier New" w:hAnsi="Courier New"/>
                <w:color w:val="111827"/>
                <w:sz w:val="17"/>
              </w:rPr>
              <w:t>Use independent post-snapshot branches, not one linear future. Anchors can sit at same evening, next day, post-discharge day 3 to 5, and post-discharge day 14 to 21.</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Reason:</w:t>
            </w:r>
          </w:p>
          <w:p>
            <w:pPr>
              <w:spacing w:before="0" w:after="20" w:line="232" w:lineRule="auto"/>
            </w:pPr>
            <w:r>
              <w:rPr>
                <w:rFonts w:ascii="Courier New" w:hAnsi="Courier New"/>
                <w:color w:val="111827"/>
                <w:sz w:val="17"/>
              </w:rPr>
              <w:t>This prevents future-date contradictions and gives each task a clean clinical window.</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3. Workflow posture:</w:t>
            </w:r>
          </w:p>
          <w:p>
            <w:pPr>
              <w:spacing w:before="0" w:after="20" w:line="232" w:lineRule="auto"/>
            </w:pPr>
            <w:r>
              <w:rPr>
                <w:rFonts w:ascii="Courier New" w:hAnsi="Courier New"/>
                <w:color w:val="111827"/>
                <w:sz w:val="17"/>
              </w:rPr>
              <w:t>Use clinically exact workflow strings rather than collapsing everything into broad summary categories.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Reason:</w:t>
            </w:r>
          </w:p>
          <w:p>
            <w:pPr>
              <w:spacing w:before="0" w:after="20" w:line="232" w:lineRule="auto"/>
            </w:pPr>
            <w:r>
              <w:rPr>
                <w:rFonts w:ascii="Courier New" w:hAnsi="Courier New"/>
                <w:color w:val="111827"/>
                <w:sz w:val="17"/>
              </w:rPr>
              <w:t>The variety itself is part of the difficulty. A payer appeal, coding attestation, quality abstraction, vascular referral, and pharmacy rejection do not test the same skill.</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4. Payer appeal center:</w:t>
            </w:r>
          </w:p>
          <w:p>
            <w:pPr>
              <w:spacing w:before="0" w:after="20" w:line="232" w:lineRule="auto"/>
            </w:pPr>
            <w:r>
              <w:rPr>
                <w:rFonts w:ascii="Courier New" w:hAnsi="Courier New"/>
                <w:color w:val="111827"/>
                <w:sz w:val="17"/>
              </w:rPr>
              <w:t>Medicare Advantage SNF denial.</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Reason:</w:t>
            </w:r>
          </w:p>
          <w:p>
            <w:pPr>
              <w:spacing w:before="0" w:after="20" w:line="232" w:lineRule="auto"/>
            </w:pPr>
            <w:r>
              <w:rPr>
                <w:rFonts w:ascii="Courier New" w:hAnsi="Courier New"/>
                <w:color w:val="111827"/>
                <w:sz w:val="17"/>
              </w:rPr>
              <w:t>Home health is administratively easier but clinically unsafe. That creates a fair external ratify-or-refute surface.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5. Osteomyelitis uncertainty:</w:t>
            </w:r>
          </w:p>
          <w:p>
            <w:pPr>
              <w:spacing w:before="0" w:after="20" w:line="232" w:lineRule="auto"/>
            </w:pPr>
            <w:r>
              <w:rPr>
                <w:rFonts w:ascii="Courier New" w:hAnsi="Courier New"/>
                <w:color w:val="111827"/>
                <w:sz w:val="17"/>
              </w:rPr>
              <w:t>Keep MRI equivocal, no exposed bone, no bone culture, no definitive treating diagnosis.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Reason:</w:t>
            </w:r>
          </w:p>
          <w:p>
            <w:pPr>
              <w:spacing w:before="0" w:after="20" w:line="232" w:lineRule="auto"/>
            </w:pPr>
            <w:r>
              <w:rPr>
                <w:rFonts w:ascii="Courier New" w:hAnsi="Courier New"/>
                <w:color w:val="111827"/>
                <w:sz w:val="17"/>
              </w:rPr>
              <w:t>The correct behavior is restraint or clarification, not confident acute osteomyelitis coding.</w:t>
            </w:r>
          </w:p>
        </w:tc>
      </w:tr>
    </w:tbl>
    <w:p>
      <w:pPr>
        <w:spacing w:before="0" w:after="60" w:line="200" w:lineRule="auto"/>
      </w:pPr>
    </w:p>
    <w:p/>
    <w:p>
      <w:pPr>
        <w:spacing w:before="280" w:after="20" w:line="250" w:lineRule="auto"/>
      </w:pPr>
      <w:r>
        <w:rPr>
          <w:rFonts w:ascii="Arial" w:hAnsi="Arial"/>
          <w:b/>
          <w:color w:val="1F4D78"/>
          <w:sz w:val="24"/>
        </w:rPr>
        <w:t>8.</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Draft the proposal. The goal is to narrow the best case based on the recent guardrails, the Korvin logs, the source of truth, and the ability to apply many variables.</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Draft Brainstorm frame: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World Type:</w:t>
            </w:r>
          </w:p>
          <w:p>
            <w:pPr>
              <w:spacing w:before="0" w:after="20" w:line="232" w:lineRule="auto"/>
            </w:pPr>
            <w:r>
              <w:rPr>
                <w:rFonts w:ascii="Courier New" w:hAnsi="Courier New"/>
                <w:color w:val="111827"/>
                <w:sz w:val="17"/>
              </w:rPr>
              <w:t>This is a hospital medicine world centered on a complex inpatient admission and the physician-facing documentation work generated after the admission reaches a medically improved but operationally unsafe point.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Patient:</w:t>
            </w:r>
          </w:p>
          <w:p>
            <w:pPr>
              <w:spacing w:before="0" w:after="20" w:line="232" w:lineRule="auto"/>
            </w:pPr>
            <w:r>
              <w:rPr>
                <w:rFonts w:ascii="Courier New" w:hAnsi="Courier New"/>
                <w:color w:val="111827"/>
                <w:sz w:val="17"/>
              </w:rPr>
              <w:t>Ondina Vasquell is an older Spanish-preferred woman admitted with a limb-threatening diabetic foot infection. She has insulin-dependent type 2 diabetes with neuropathy and retinopathy, CKD 3b with anemia of CKD, peripheral arterial disease, HFpEF, hypertension, dyslipidemia, obesity, OSA, osteoarthritis, and limited mobility.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Core tension:</w:t>
            </w:r>
          </w:p>
          <w:p>
            <w:pPr>
              <w:spacing w:before="0" w:after="20" w:line="232" w:lineRule="auto"/>
            </w:pPr>
            <w:r>
              <w:rPr>
                <w:rFonts w:ascii="Courier New" w:hAnsi="Courier New"/>
                <w:color w:val="111827"/>
                <w:sz w:val="17"/>
              </w:rPr>
              <w:t>She is improving enough that discharge pressure is real, but she is not operationally safe for a simple home plan. The payer wants the lower-intensity pathway. Case management needs a physician appeal. The family wants safety but has limited availability. Specialty services disagree on how much risk remains.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Frictions:</w:t>
            </w:r>
          </w:p>
          <w:p>
            <w:pPr>
              <w:spacing w:before="0" w:after="20" w:line="232" w:lineRule="auto"/>
            </w:pPr>
            <w:r>
              <w:rPr>
                <w:rFonts w:ascii="Courier New" w:hAnsi="Courier New"/>
                <w:color w:val="111827"/>
                <w:sz w:val="17"/>
              </w:rPr>
              <w:t>Hospital medicine versus payer medical director.</w:t>
            </w:r>
          </w:p>
          <w:p>
            <w:pPr>
              <w:spacing w:before="0" w:after="20" w:line="232" w:lineRule="auto"/>
            </w:pPr>
            <w:r>
              <w:rPr>
                <w:rFonts w:ascii="Courier New" w:hAnsi="Courier New"/>
                <w:color w:val="111827"/>
                <w:sz w:val="17"/>
              </w:rPr>
              <w:t>Podiatry versus vascular surgery.</w:t>
            </w:r>
          </w:p>
          <w:p>
            <w:pPr>
              <w:spacing w:before="0" w:after="20" w:line="232" w:lineRule="auto"/>
            </w:pPr>
            <w:r>
              <w:rPr>
                <w:rFonts w:ascii="Courier New" w:hAnsi="Courier New"/>
                <w:color w:val="111827"/>
                <w:sz w:val="17"/>
              </w:rPr>
              <w:t>ID and pharmacy versus renal dosing and benefit limits.</w:t>
            </w:r>
          </w:p>
          <w:p>
            <w:pPr>
              <w:spacing w:before="0" w:after="20" w:line="232" w:lineRule="auto"/>
            </w:pPr>
            <w:r>
              <w:rPr>
                <w:rFonts w:ascii="Courier New" w:hAnsi="Courier New"/>
                <w:color w:val="111827"/>
                <w:sz w:val="17"/>
              </w:rPr>
              <w:t>HIM and CDI versus treating-team documentation.</w:t>
            </w:r>
          </w:p>
          <w:p>
            <w:pPr>
              <w:spacing w:before="0" w:after="20" w:line="232" w:lineRule="auto"/>
            </w:pPr>
            <w:r>
              <w:rPr>
                <w:rFonts w:ascii="Courier New" w:hAnsi="Courier New"/>
                <w:color w:val="111827"/>
                <w:sz w:val="17"/>
              </w:rPr>
              <w:t>PT, OT, nursing, daughter, and case management versus discharge logistics.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Trap classes:</w:t>
            </w:r>
          </w:p>
          <w:p>
            <w:pPr>
              <w:spacing w:before="0" w:after="20" w:line="232" w:lineRule="auto"/>
            </w:pPr>
            <w:r>
              <w:rPr>
                <w:rFonts w:ascii="Courier New" w:hAnsi="Courier New"/>
                <w:color w:val="111827"/>
                <w:sz w:val="17"/>
              </w:rPr>
              <w:t>Renal antibiotic dosing.</w:t>
            </w:r>
          </w:p>
          <w:p>
            <w:pPr>
              <w:spacing w:before="0" w:after="20" w:line="232" w:lineRule="auto"/>
            </w:pPr>
            <w:r>
              <w:rPr>
                <w:rFonts w:ascii="Courier New" w:hAnsi="Courier New"/>
                <w:color w:val="111827"/>
                <w:sz w:val="17"/>
              </w:rPr>
              <w:t>Equivocal osteomyelitis.</w:t>
            </w:r>
          </w:p>
          <w:p>
            <w:pPr>
              <w:spacing w:before="0" w:after="20" w:line="232" w:lineRule="auto"/>
            </w:pPr>
            <w:r>
              <w:rPr>
                <w:rFonts w:ascii="Courier New" w:hAnsi="Courier New"/>
                <w:color w:val="111827"/>
                <w:sz w:val="17"/>
              </w:rPr>
              <w:t>Wound classification and POA status.</w:t>
            </w:r>
          </w:p>
          <w:p>
            <w:pPr>
              <w:spacing w:before="0" w:after="20" w:line="232" w:lineRule="auto"/>
            </w:pPr>
            <w:r>
              <w:rPr>
                <w:rFonts w:ascii="Courier New" w:hAnsi="Courier New"/>
                <w:color w:val="111827"/>
                <w:sz w:val="17"/>
              </w:rPr>
              <w:t>Perfusion uncertainty.</w:t>
            </w:r>
          </w:p>
          <w:p>
            <w:pPr>
              <w:spacing w:before="0" w:after="20" w:line="232" w:lineRule="auto"/>
            </w:pPr>
            <w:r>
              <w:rPr>
                <w:rFonts w:ascii="Courier New" w:hAnsi="Courier New"/>
                <w:color w:val="111827"/>
                <w:sz w:val="17"/>
              </w:rPr>
              <w:t>Offloading and DME readiness.</w:t>
            </w:r>
          </w:p>
          <w:p>
            <w:pPr>
              <w:spacing w:before="0" w:after="20" w:line="232" w:lineRule="auto"/>
            </w:pPr>
            <w:r>
              <w:rPr>
                <w:rFonts w:ascii="Courier New" w:hAnsi="Courier New"/>
                <w:color w:val="111827"/>
                <w:sz w:val="17"/>
              </w:rPr>
              <w:t>Culture hierarchy.</w:t>
            </w:r>
          </w:p>
          <w:p>
            <w:pPr>
              <w:spacing w:before="0" w:after="20" w:line="232" w:lineRule="auto"/>
            </w:pPr>
            <w:r>
              <w:rPr>
                <w:rFonts w:ascii="Courier New" w:hAnsi="Courier New"/>
                <w:color w:val="111827"/>
                <w:sz w:val="17"/>
              </w:rPr>
              <w:t>Quality-measure lookback.</w:t>
            </w:r>
          </w:p>
          <w:p>
            <w:pPr>
              <w:spacing w:before="0" w:after="20" w:line="232" w:lineRule="auto"/>
            </w:pPr>
            <w:r>
              <w:rPr>
                <w:rFonts w:ascii="Courier New" w:hAnsi="Courier New"/>
                <w:color w:val="111827"/>
                <w:sz w:val="17"/>
              </w:rPr>
              <w:t>SDOH as context, not the scored trap.</w:t>
            </w:r>
          </w:p>
        </w:tc>
      </w:tr>
    </w:tbl>
    <w:p>
      <w:pPr>
        <w:spacing w:before="0" w:after="60" w:line="200" w:lineRule="auto"/>
      </w:pPr>
    </w:p>
    <w:p/>
    <w:p>
      <w:pPr>
        <w:spacing w:before="280" w:after="20" w:line="250" w:lineRule="auto"/>
      </w:pPr>
      <w:r>
        <w:rPr>
          <w:rFonts w:ascii="Arial" w:hAnsi="Arial"/>
          <w:b/>
          <w:color w:val="1F4D78"/>
          <w:sz w:val="24"/>
        </w:rPr>
        <w:t>9.</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Make the task plan. We need ten tasks, distinct forced slots, requester role per task, and no repeated summary monoculture.</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Rough task slate: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Discharge medication reconciliation safety table.</w:t>
            </w:r>
          </w:p>
          <w:p>
            <w:pPr>
              <w:spacing w:before="0" w:after="20" w:line="232" w:lineRule="auto"/>
            </w:pPr>
            <w:r>
              <w:rPr>
                <w:rFonts w:ascii="Courier New" w:hAnsi="Courier New"/>
                <w:color w:val="111827"/>
                <w:sz w:val="17"/>
              </w:rPr>
              <w:t>Requester: hospitalist attending.</w:t>
            </w:r>
          </w:p>
          <w:p>
            <w:pPr>
              <w:spacing w:before="0" w:after="20" w:line="232" w:lineRule="auto"/>
            </w:pPr>
            <w:r>
              <w:rPr>
                <w:rFonts w:ascii="Courier New" w:hAnsi="Courier New"/>
                <w:color w:val="111827"/>
                <w:sz w:val="17"/>
              </w:rPr>
              <w:t>Workflow: discharge medication reconciliation.</w:t>
            </w:r>
          </w:p>
          <w:p>
            <w:pPr>
              <w:spacing w:before="0" w:after="20" w:line="232" w:lineRule="auto"/>
            </w:pPr>
            <w:r>
              <w:rPr>
                <w:rFonts w:ascii="Courier New" w:hAnsi="Courier New"/>
                <w:color w:val="111827"/>
                <w:sz w:val="17"/>
              </w:rPr>
              <w:t>Structure: forced inventory.</w:t>
            </w:r>
          </w:p>
          <w:p>
            <w:pPr>
              <w:spacing w:before="0" w:after="20" w:line="232" w:lineRule="auto"/>
            </w:pPr>
            <w:r>
              <w:rPr>
                <w:rFonts w:ascii="Courier New" w:hAnsi="Courier New"/>
                <w:color w:val="111827"/>
                <w:sz w:val="17"/>
              </w:rPr>
              <w:t>Forced slot: decide antibiotic, renal-dose, and diabetes medication safety.</w:t>
            </w:r>
          </w:p>
          <w:p>
            <w:pPr>
              <w:spacing w:before="0" w:after="20" w:line="232" w:lineRule="auto"/>
            </w:pPr>
            <w:r>
              <w:rPr>
                <w:rFonts w:ascii="Courier New" w:hAnsi="Courier New"/>
                <w:color w:val="111827"/>
                <w:sz w:val="17"/>
              </w:rPr>
              <w:t>Trap: model may continue a contraindicated or unsupported medication plan.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2. Physician coding attestation against preliminary HIM worksheet.</w:t>
            </w:r>
          </w:p>
          <w:p>
            <w:pPr>
              <w:spacing w:before="0" w:after="20" w:line="232" w:lineRule="auto"/>
            </w:pPr>
            <w:r>
              <w:rPr>
                <w:rFonts w:ascii="Courier New" w:hAnsi="Courier New"/>
                <w:color w:val="111827"/>
                <w:sz w:val="17"/>
              </w:rPr>
              <w:t>Requester: HIM coding lead.</w:t>
            </w:r>
          </w:p>
          <w:p>
            <w:pPr>
              <w:spacing w:before="0" w:after="20" w:line="232" w:lineRule="auto"/>
            </w:pPr>
            <w:r>
              <w:rPr>
                <w:rFonts w:ascii="Courier New" w:hAnsi="Courier New"/>
                <w:color w:val="111827"/>
                <w:sz w:val="17"/>
              </w:rPr>
              <w:t>Workflow: physician coding attestation.</w:t>
            </w:r>
          </w:p>
          <w:p>
            <w:pPr>
              <w:spacing w:before="0" w:after="20" w:line="232" w:lineRule="auto"/>
            </w:pPr>
            <w:r>
              <w:rPr>
                <w:rFonts w:ascii="Courier New" w:hAnsi="Courier New"/>
                <w:color w:val="111827"/>
                <w:sz w:val="17"/>
              </w:rPr>
              <w:t>Structure: external ratify-or-refute.</w:t>
            </w:r>
          </w:p>
          <w:p>
            <w:pPr>
              <w:spacing w:before="0" w:after="20" w:line="232" w:lineRule="auto"/>
            </w:pPr>
            <w:r>
              <w:rPr>
                <w:rFonts w:ascii="Courier New" w:hAnsi="Courier New"/>
                <w:color w:val="111827"/>
                <w:sz w:val="17"/>
              </w:rPr>
              <w:t>Forced slot: accept or reject osteomyelitis, ulcer family, and severity capture.</w:t>
            </w:r>
          </w:p>
          <w:p>
            <w:pPr>
              <w:spacing w:before="0" w:after="20" w:line="232" w:lineRule="auto"/>
            </w:pPr>
            <w:r>
              <w:rPr>
                <w:rFonts w:ascii="Courier New" w:hAnsi="Courier New"/>
                <w:color w:val="111827"/>
                <w:sz w:val="17"/>
              </w:rPr>
              <w:t>Trap: model may ratify unsupported coding severity.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3. Attending response to CDI query.</w:t>
            </w:r>
          </w:p>
          <w:p>
            <w:pPr>
              <w:spacing w:before="0" w:after="20" w:line="232" w:lineRule="auto"/>
            </w:pPr>
            <w:r>
              <w:rPr>
                <w:rFonts w:ascii="Courier New" w:hAnsi="Courier New"/>
                <w:color w:val="111827"/>
                <w:sz w:val="17"/>
              </w:rPr>
              <w:t>Requester: CDI specialist.</w:t>
            </w:r>
          </w:p>
          <w:p>
            <w:pPr>
              <w:spacing w:before="0" w:after="20" w:line="232" w:lineRule="auto"/>
            </w:pPr>
            <w:r>
              <w:rPr>
                <w:rFonts w:ascii="Courier New" w:hAnsi="Courier New"/>
                <w:color w:val="111827"/>
                <w:sz w:val="17"/>
              </w:rPr>
              <w:t>Workflow: CDI query response.</w:t>
            </w:r>
          </w:p>
          <w:p>
            <w:pPr>
              <w:spacing w:before="0" w:after="20" w:line="232" w:lineRule="auto"/>
            </w:pPr>
            <w:r>
              <w:rPr>
                <w:rFonts w:ascii="Courier New" w:hAnsi="Courier New"/>
                <w:color w:val="111827"/>
                <w:sz w:val="17"/>
              </w:rPr>
              <w:t>Structure: external ratify-or-refute.</w:t>
            </w:r>
          </w:p>
          <w:p>
            <w:pPr>
              <w:spacing w:before="0" w:after="20" w:line="232" w:lineRule="auto"/>
            </w:pPr>
            <w:r>
              <w:rPr>
                <w:rFonts w:ascii="Courier New" w:hAnsi="Courier New"/>
                <w:color w:val="111827"/>
                <w:sz w:val="17"/>
              </w:rPr>
              <w:t>Forced slot: determine whether documentation supports acute osteomyelitis or only suspected infection.</w:t>
            </w:r>
          </w:p>
          <w:p>
            <w:pPr>
              <w:spacing w:before="0" w:after="20" w:line="232" w:lineRule="auto"/>
            </w:pPr>
            <w:r>
              <w:rPr>
                <w:rFonts w:ascii="Courier New" w:hAnsi="Courier New"/>
                <w:color w:val="111827"/>
                <w:sz w:val="17"/>
              </w:rPr>
              <w:t>Trap: model may add diagnosis from pressure.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4. SNF denial appeal.</w:t>
            </w:r>
          </w:p>
          <w:p>
            <w:pPr>
              <w:spacing w:before="0" w:after="20" w:line="232" w:lineRule="auto"/>
            </w:pPr>
            <w:r>
              <w:rPr>
                <w:rFonts w:ascii="Courier New" w:hAnsi="Courier New"/>
                <w:color w:val="111827"/>
                <w:sz w:val="17"/>
              </w:rPr>
              <w:t>Requester: hospitalist attending at case management request.</w:t>
            </w:r>
          </w:p>
          <w:p>
            <w:pPr>
              <w:spacing w:before="0" w:after="20" w:line="232" w:lineRule="auto"/>
            </w:pPr>
            <w:r>
              <w:rPr>
                <w:rFonts w:ascii="Courier New" w:hAnsi="Courier New"/>
                <w:color w:val="111827"/>
                <w:sz w:val="17"/>
              </w:rPr>
              <w:t>Workflow: payer appeal letter.</w:t>
            </w:r>
          </w:p>
          <w:p>
            <w:pPr>
              <w:spacing w:before="0" w:after="20" w:line="232" w:lineRule="auto"/>
            </w:pPr>
            <w:r>
              <w:rPr>
                <w:rFonts w:ascii="Courier New" w:hAnsi="Courier New"/>
                <w:color w:val="111827"/>
                <w:sz w:val="17"/>
              </w:rPr>
              <w:t>Structure: external appeal.</w:t>
            </w:r>
          </w:p>
          <w:p>
            <w:pPr>
              <w:spacing w:before="0" w:after="20" w:line="232" w:lineRule="auto"/>
            </w:pPr>
            <w:r>
              <w:rPr>
                <w:rFonts w:ascii="Courier New" w:hAnsi="Courier New"/>
                <w:color w:val="111827"/>
                <w:sz w:val="17"/>
              </w:rPr>
              <w:t>Forced slot: prove why home health is unsafe despite medical improvement.</w:t>
            </w:r>
          </w:p>
          <w:p>
            <w:pPr>
              <w:spacing w:before="0" w:after="20" w:line="232" w:lineRule="auto"/>
            </w:pPr>
            <w:r>
              <w:rPr>
                <w:rFonts w:ascii="Courier New" w:hAnsi="Courier New"/>
                <w:color w:val="111827"/>
                <w:sz w:val="17"/>
              </w:rPr>
              <w:t>Trap: model may accept payer frame that stability equals readiness.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5. Pharmacy insurance rejection response.</w:t>
            </w:r>
          </w:p>
          <w:p>
            <w:pPr>
              <w:spacing w:before="0" w:after="20" w:line="232" w:lineRule="auto"/>
            </w:pPr>
            <w:r>
              <w:rPr>
                <w:rFonts w:ascii="Courier New" w:hAnsi="Courier New"/>
                <w:color w:val="111827"/>
                <w:sz w:val="17"/>
              </w:rPr>
              <w:t>Requester: infectious disease attending.</w:t>
            </w:r>
          </w:p>
          <w:p>
            <w:pPr>
              <w:spacing w:before="0" w:after="20" w:line="232" w:lineRule="auto"/>
            </w:pPr>
            <w:r>
              <w:rPr>
                <w:rFonts w:ascii="Courier New" w:hAnsi="Courier New"/>
                <w:color w:val="111827"/>
                <w:sz w:val="17"/>
              </w:rPr>
              <w:t>Workflow: pharmacy benefit exception.</w:t>
            </w:r>
          </w:p>
          <w:p>
            <w:pPr>
              <w:spacing w:before="0" w:after="20" w:line="232" w:lineRule="auto"/>
            </w:pPr>
            <w:r>
              <w:rPr>
                <w:rFonts w:ascii="Courier New" w:hAnsi="Courier New"/>
                <w:color w:val="111827"/>
                <w:sz w:val="17"/>
              </w:rPr>
              <w:t>Structure: external ratify-or-refute.</w:t>
            </w:r>
          </w:p>
          <w:p>
            <w:pPr>
              <w:spacing w:before="0" w:after="20" w:line="232" w:lineRule="auto"/>
            </w:pPr>
            <w:r>
              <w:rPr>
                <w:rFonts w:ascii="Courier New" w:hAnsi="Courier New"/>
                <w:color w:val="111827"/>
                <w:sz w:val="17"/>
              </w:rPr>
              <w:t>Forced slot: justify route, duration, and renal safety without inventing cultures.</w:t>
            </w:r>
          </w:p>
          <w:p>
            <w:pPr>
              <w:spacing w:before="0" w:after="20" w:line="232" w:lineRule="auto"/>
            </w:pPr>
            <w:r>
              <w:rPr>
                <w:rFonts w:ascii="Courier New" w:hAnsi="Courier New"/>
                <w:color w:val="111827"/>
                <w:sz w:val="17"/>
              </w:rPr>
              <w:t>Trap: model may invent organism or culture finality.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6. Continued-stay determination.</w:t>
            </w:r>
          </w:p>
          <w:p>
            <w:pPr>
              <w:spacing w:before="0" w:after="20" w:line="232" w:lineRule="auto"/>
            </w:pPr>
            <w:r>
              <w:rPr>
                <w:rFonts w:ascii="Courier New" w:hAnsi="Courier New"/>
                <w:color w:val="111827"/>
                <w:sz w:val="17"/>
              </w:rPr>
              <w:t>Requester: utilization review physician advisor.</w:t>
            </w:r>
          </w:p>
          <w:p>
            <w:pPr>
              <w:spacing w:before="0" w:after="20" w:line="232" w:lineRule="auto"/>
            </w:pPr>
            <w:r>
              <w:rPr>
                <w:rFonts w:ascii="Courier New" w:hAnsi="Courier New"/>
                <w:color w:val="111827"/>
                <w:sz w:val="17"/>
              </w:rPr>
              <w:t>Workflow: admission status and continued-stay determination.</w:t>
            </w:r>
          </w:p>
          <w:p>
            <w:pPr>
              <w:spacing w:before="0" w:after="20" w:line="232" w:lineRule="auto"/>
            </w:pPr>
            <w:r>
              <w:rPr>
                <w:rFonts w:ascii="Courier New" w:hAnsi="Courier New"/>
                <w:color w:val="111827"/>
                <w:sz w:val="17"/>
              </w:rPr>
              <w:t>Structure: determination.</w:t>
            </w:r>
          </w:p>
          <w:p>
            <w:pPr>
              <w:spacing w:before="0" w:after="20" w:line="232" w:lineRule="auto"/>
            </w:pPr>
            <w:r>
              <w:rPr>
                <w:rFonts w:ascii="Courier New" w:hAnsi="Courier New"/>
                <w:color w:val="111827"/>
                <w:sz w:val="17"/>
              </w:rPr>
              <w:t>Forced slot: decide whether inpatient care remains justified.</w:t>
            </w:r>
          </w:p>
          <w:p>
            <w:pPr>
              <w:spacing w:before="0" w:after="20" w:line="232" w:lineRule="auto"/>
            </w:pPr>
            <w:r>
              <w:rPr>
                <w:rFonts w:ascii="Courier New" w:hAnsi="Courier New"/>
                <w:color w:val="111827"/>
                <w:sz w:val="17"/>
              </w:rPr>
              <w:t>Trap: model may treat improvement as discharge readiness.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7. Diabetes quality-measure abstraction.</w:t>
            </w:r>
          </w:p>
          <w:p>
            <w:pPr>
              <w:spacing w:before="0" w:after="20" w:line="232" w:lineRule="auto"/>
            </w:pPr>
            <w:r>
              <w:rPr>
                <w:rFonts w:ascii="Courier New" w:hAnsi="Courier New"/>
                <w:color w:val="111827"/>
                <w:sz w:val="17"/>
              </w:rPr>
              <w:t>Requester: hospitalist quality lead.</w:t>
            </w:r>
          </w:p>
          <w:p>
            <w:pPr>
              <w:spacing w:before="0" w:after="20" w:line="232" w:lineRule="auto"/>
            </w:pPr>
            <w:r>
              <w:rPr>
                <w:rFonts w:ascii="Courier New" w:hAnsi="Courier New"/>
                <w:color w:val="111827"/>
                <w:sz w:val="17"/>
              </w:rPr>
              <w:t>Workflow: quality abstraction.</w:t>
            </w:r>
          </w:p>
          <w:p>
            <w:pPr>
              <w:spacing w:before="0" w:after="20" w:line="232" w:lineRule="auto"/>
            </w:pPr>
            <w:r>
              <w:rPr>
                <w:rFonts w:ascii="Courier New" w:hAnsi="Courier New"/>
                <w:color w:val="111827"/>
                <w:sz w:val="17"/>
              </w:rPr>
              <w:t>Structure: extraction to schema.</w:t>
            </w:r>
          </w:p>
          <w:p>
            <w:pPr>
              <w:spacing w:before="0" w:after="20" w:line="232" w:lineRule="auto"/>
            </w:pPr>
            <w:r>
              <w:rPr>
                <w:rFonts w:ascii="Courier New" w:hAnsi="Courier New"/>
                <w:color w:val="111827"/>
                <w:sz w:val="17"/>
              </w:rPr>
              <w:t>Forced slot: apply lookback and exclusion logic.</w:t>
            </w:r>
          </w:p>
          <w:p>
            <w:pPr>
              <w:spacing w:before="0" w:after="20" w:line="232" w:lineRule="auto"/>
            </w:pPr>
            <w:r>
              <w:rPr>
                <w:rFonts w:ascii="Courier New" w:hAnsi="Courier New"/>
                <w:color w:val="111827"/>
                <w:sz w:val="17"/>
              </w:rPr>
              <w:t>Trap: model may miss a quiet denominator exclusion.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8. Vascular surgery referral letter.</w:t>
            </w:r>
          </w:p>
          <w:p>
            <w:pPr>
              <w:spacing w:before="0" w:after="20" w:line="232" w:lineRule="auto"/>
            </w:pPr>
            <w:r>
              <w:rPr>
                <w:rFonts w:ascii="Courier New" w:hAnsi="Courier New"/>
                <w:color w:val="111827"/>
                <w:sz w:val="17"/>
              </w:rPr>
              <w:t>Requester: hospitalist attending.</w:t>
            </w:r>
          </w:p>
          <w:p>
            <w:pPr>
              <w:spacing w:before="0" w:after="20" w:line="232" w:lineRule="auto"/>
            </w:pPr>
            <w:r>
              <w:rPr>
                <w:rFonts w:ascii="Courier New" w:hAnsi="Courier New"/>
                <w:color w:val="111827"/>
                <w:sz w:val="17"/>
              </w:rPr>
              <w:t>Workflow: referral synthesis.</w:t>
            </w:r>
          </w:p>
          <w:p>
            <w:pPr>
              <w:spacing w:before="0" w:after="20" w:line="232" w:lineRule="auto"/>
            </w:pPr>
            <w:r>
              <w:rPr>
                <w:rFonts w:ascii="Courier New" w:hAnsi="Courier New"/>
                <w:color w:val="111827"/>
                <w:sz w:val="17"/>
              </w:rPr>
              <w:t>Structure: synthesis with required table.</w:t>
            </w:r>
          </w:p>
          <w:p>
            <w:pPr>
              <w:spacing w:before="0" w:after="20" w:line="232" w:lineRule="auto"/>
            </w:pPr>
            <w:r>
              <w:rPr>
                <w:rFonts w:ascii="Courier New" w:hAnsi="Courier New"/>
                <w:color w:val="111827"/>
                <w:sz w:val="17"/>
              </w:rPr>
              <w:t>Forced slot: convey perfusion uncertainty and what is not proven.</w:t>
            </w:r>
          </w:p>
          <w:p>
            <w:pPr>
              <w:spacing w:before="0" w:after="20" w:line="232" w:lineRule="auto"/>
            </w:pPr>
            <w:r>
              <w:rPr>
                <w:rFonts w:ascii="Courier New" w:hAnsi="Courier New"/>
                <w:color w:val="111827"/>
                <w:sz w:val="17"/>
              </w:rPr>
              <w:t>Trap: model may overstate vascular adequacy from reassuring bedside language.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9. Safety review of missed-offloading event.</w:t>
            </w:r>
          </w:p>
          <w:p>
            <w:pPr>
              <w:spacing w:before="0" w:after="20" w:line="232" w:lineRule="auto"/>
            </w:pPr>
            <w:r>
              <w:rPr>
                <w:rFonts w:ascii="Courier New" w:hAnsi="Courier New"/>
                <w:color w:val="111827"/>
                <w:sz w:val="17"/>
              </w:rPr>
              <w:t>Requester: hospitalist attending.</w:t>
            </w:r>
          </w:p>
          <w:p>
            <w:pPr>
              <w:spacing w:before="0" w:after="20" w:line="232" w:lineRule="auto"/>
            </w:pPr>
            <w:r>
              <w:rPr>
                <w:rFonts w:ascii="Courier New" w:hAnsi="Courier New"/>
                <w:color w:val="111827"/>
                <w:sz w:val="17"/>
              </w:rPr>
              <w:t>Workflow: safety event review.</w:t>
            </w:r>
          </w:p>
          <w:p>
            <w:pPr>
              <w:spacing w:before="0" w:after="20" w:line="232" w:lineRule="auto"/>
            </w:pPr>
            <w:r>
              <w:rPr>
                <w:rFonts w:ascii="Courier New" w:hAnsi="Courier New"/>
                <w:color w:val="111827"/>
                <w:sz w:val="17"/>
              </w:rPr>
              <w:t>Structure: investigation.</w:t>
            </w:r>
          </w:p>
          <w:p>
            <w:pPr>
              <w:spacing w:before="0" w:after="20" w:line="232" w:lineRule="auto"/>
            </w:pPr>
            <w:r>
              <w:rPr>
                <w:rFonts w:ascii="Courier New" w:hAnsi="Courier New"/>
                <w:color w:val="111827"/>
                <w:sz w:val="17"/>
              </w:rPr>
              <w:t>Forced slot: distinguish blame from system failure and specify prevention.</w:t>
            </w:r>
          </w:p>
          <w:p>
            <w:pPr>
              <w:spacing w:before="0" w:after="20" w:line="232" w:lineRule="auto"/>
            </w:pPr>
            <w:r>
              <w:rPr>
                <w:rFonts w:ascii="Courier New" w:hAnsi="Courier New"/>
                <w:color w:val="111827"/>
                <w:sz w:val="17"/>
              </w:rPr>
              <w:t>Trap: model may punish an individual or miss DME timing.</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10. Finalize discharge instructions from started draft.</w:t>
            </w:r>
          </w:p>
          <w:p>
            <w:pPr>
              <w:spacing w:before="0" w:after="20" w:line="232" w:lineRule="auto"/>
            </w:pPr>
            <w:r>
              <w:rPr>
                <w:rFonts w:ascii="Courier New" w:hAnsi="Courier New"/>
                <w:color w:val="111827"/>
                <w:sz w:val="17"/>
              </w:rPr>
              <w:t>Requester: hospitalist attending.</w:t>
            </w:r>
          </w:p>
          <w:p>
            <w:pPr>
              <w:spacing w:before="0" w:after="20" w:line="232" w:lineRule="auto"/>
            </w:pPr>
            <w:r>
              <w:rPr>
                <w:rFonts w:ascii="Courier New" w:hAnsi="Courier New"/>
                <w:color w:val="111827"/>
                <w:sz w:val="17"/>
              </w:rPr>
              <w:t>Workflow: patient-facing discharge instructions.</w:t>
            </w:r>
          </w:p>
          <w:p>
            <w:pPr>
              <w:spacing w:before="0" w:after="20" w:line="232" w:lineRule="auto"/>
            </w:pPr>
            <w:r>
              <w:rPr>
                <w:rFonts w:ascii="Courier New" w:hAnsi="Courier New"/>
                <w:color w:val="111827"/>
                <w:sz w:val="17"/>
              </w:rPr>
              <w:t>Structure: completion.</w:t>
            </w:r>
          </w:p>
          <w:p>
            <w:pPr>
              <w:spacing w:before="0" w:after="20" w:line="232" w:lineRule="auto"/>
            </w:pPr>
            <w:r>
              <w:rPr>
                <w:rFonts w:ascii="Courier New" w:hAnsi="Courier New"/>
                <w:color w:val="111827"/>
                <w:sz w:val="17"/>
              </w:rPr>
              <w:t>Forced slot: make instructions safe and bilingual-sensitive without adding unsupported claims.</w:t>
            </w:r>
          </w:p>
          <w:p>
            <w:pPr>
              <w:spacing w:before="0" w:after="20" w:line="232" w:lineRule="auto"/>
            </w:pPr>
            <w:r>
              <w:rPr>
                <w:rFonts w:ascii="Courier New" w:hAnsi="Courier New"/>
                <w:color w:val="111827"/>
                <w:sz w:val="17"/>
              </w:rPr>
              <w:t>Trap: model may propagate draft language unless placeholders are used or correction is explicit.</w:t>
            </w:r>
          </w:p>
        </w:tc>
      </w:tr>
    </w:tbl>
    <w:p>
      <w:pPr>
        <w:spacing w:before="0" w:after="60" w:line="200" w:lineRule="auto"/>
      </w:pPr>
    </w:p>
    <w:p/>
    <w:p>
      <w:pPr>
        <w:spacing w:before="280" w:after="20" w:line="250" w:lineRule="auto"/>
      </w:pPr>
      <w:r>
        <w:rPr>
          <w:rFonts w:ascii="Arial" w:hAnsi="Arial"/>
          <w:b/>
          <w:color w:val="1F4D78"/>
          <w:sz w:val="24"/>
        </w:rPr>
        <w:t>10.</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Review this against actual Brainstorm structure and the Korvin failures. Cover what the checklist missed. The clinician voice is the most important critique.</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Clinician-read critique: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Brainstorm is strong because it has a real patient-care problem, not a puzzle. The patient can look medically better and still be unsafe. That is a true internal medicine tension.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What the checklist can miss: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The pitch must sound like a physician describing a hard admission, not a task designer showing mechanics.</w:t>
            </w:r>
          </w:p>
          <w:p>
            <w:pPr>
              <w:spacing w:before="0" w:after="20" w:line="232" w:lineRule="auto"/>
            </w:pPr>
            <w:r>
              <w:rPr>
                <w:rFonts w:ascii="Courier New" w:hAnsi="Courier New"/>
                <w:color w:val="111827"/>
                <w:sz w:val="17"/>
              </w:rPr>
              <w:t>2. The payer denial cannot be cosmetic. It has to force a real medical judgment about disposition risk.</w:t>
            </w:r>
          </w:p>
          <w:p>
            <w:pPr>
              <w:spacing w:before="0" w:after="20" w:line="232" w:lineRule="auto"/>
            </w:pPr>
            <w:r>
              <w:rPr>
                <w:rFonts w:ascii="Courier New" w:hAnsi="Courier New"/>
                <w:color w:val="111827"/>
                <w:sz w:val="17"/>
              </w:rPr>
              <w:t>3. Osteomyelitis restraint has to be clinically owned. If the chart is equivocal, the correct answer is not to diagnose harder.</w:t>
            </w:r>
          </w:p>
          <w:p>
            <w:pPr>
              <w:spacing w:before="0" w:after="20" w:line="232" w:lineRule="auto"/>
            </w:pPr>
            <w:r>
              <w:rPr>
                <w:rFonts w:ascii="Courier New" w:hAnsi="Courier New"/>
                <w:color w:val="111827"/>
                <w:sz w:val="17"/>
              </w:rPr>
              <w:t>4. SDOH should raise load and explain why decisions matter, but it should not be the hidden scored trap.</w:t>
            </w:r>
          </w:p>
          <w:p>
            <w:pPr>
              <w:spacing w:before="0" w:after="20" w:line="232" w:lineRule="auto"/>
            </w:pPr>
            <w:r>
              <w:rPr>
                <w:rFonts w:ascii="Courier New" w:hAnsi="Courier New"/>
                <w:color w:val="111827"/>
                <w:sz w:val="17"/>
              </w:rPr>
              <w:t>5. Every task needs a named requester and a credible reason that requester needs the physician now.</w:t>
            </w:r>
          </w:p>
          <w:p>
            <w:pPr>
              <w:spacing w:before="0" w:after="20" w:line="232" w:lineRule="auto"/>
            </w:pPr>
            <w:r>
              <w:rPr>
                <w:rFonts w:ascii="Courier New" w:hAnsi="Courier New"/>
                <w:color w:val="111827"/>
                <w:sz w:val="17"/>
              </w:rPr>
              <w:t>6. Same-author started drafts need placeholders or explicit correction instructions. External wrong-by-genre documents are fair rebuttal surfaces.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Actionable fixes: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Expand the comorbidity profile to at least ten conditions.</w:t>
            </w:r>
          </w:p>
          <w:p>
            <w:pPr>
              <w:spacing w:before="0" w:after="20" w:line="232" w:lineRule="auto"/>
            </w:pPr>
            <w:r>
              <w:rPr>
                <w:rFonts w:ascii="Courier New" w:hAnsi="Courier New"/>
                <w:color w:val="111827"/>
                <w:sz w:val="17"/>
              </w:rPr>
              <w:t>2. Remove internal labels from the reviewer-facing version.</w:t>
            </w:r>
          </w:p>
          <w:p>
            <w:pPr>
              <w:spacing w:before="0" w:after="20" w:line="232" w:lineRule="auto"/>
            </w:pPr>
            <w:r>
              <w:rPr>
                <w:rFonts w:ascii="Courier New" w:hAnsi="Courier New"/>
                <w:color w:val="111827"/>
                <w:sz w:val="17"/>
              </w:rPr>
              <w:t>3. Add per-task P0 or P1 priority labels, not just an aggregate note.</w:t>
            </w:r>
          </w:p>
          <w:p>
            <w:pPr>
              <w:spacing w:before="0" w:after="20" w:line="232" w:lineRule="auto"/>
            </w:pPr>
            <w:r>
              <w:rPr>
                <w:rFonts w:ascii="Courier New" w:hAnsi="Courier New"/>
                <w:color w:val="111827"/>
                <w:sz w:val="17"/>
              </w:rPr>
              <w:t>4. Keep the Brainstorm at concept depth. Do not invent medication doses or final lab values here.</w:t>
            </w:r>
          </w:p>
        </w:tc>
      </w:tr>
    </w:tbl>
    <w:p>
      <w:pPr>
        <w:spacing w:before="0" w:after="60" w:line="200" w:lineRule="auto"/>
      </w:pPr>
    </w:p>
    <w:p/>
    <w:p>
      <w:pPr>
        <w:spacing w:before="280" w:after="20" w:line="250" w:lineRule="auto"/>
      </w:pPr>
      <w:r>
        <w:rPr>
          <w:rFonts w:ascii="Arial" w:hAnsi="Arial"/>
          <w:b/>
          <w:color w:val="1F4D78"/>
          <w:sz w:val="24"/>
        </w:rPr>
        <w:t>11.</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Increase comorbidity to 10-plus. Prepare the submission copy.</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Applied concept-level comorbidity expansion: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Insulin-dependent type 2 diabetes.</w:t>
            </w:r>
          </w:p>
          <w:p>
            <w:pPr>
              <w:spacing w:before="0" w:after="20" w:line="232" w:lineRule="auto"/>
            </w:pPr>
            <w:r>
              <w:rPr>
                <w:rFonts w:ascii="Courier New" w:hAnsi="Courier New"/>
                <w:color w:val="111827"/>
                <w:sz w:val="17"/>
              </w:rPr>
              <w:t>Diabetic peripheral neuropathy.</w:t>
            </w:r>
          </w:p>
          <w:p>
            <w:pPr>
              <w:spacing w:before="0" w:after="20" w:line="232" w:lineRule="auto"/>
            </w:pPr>
            <w:r>
              <w:rPr>
                <w:rFonts w:ascii="Courier New" w:hAnsi="Courier New"/>
                <w:color w:val="111827"/>
                <w:sz w:val="17"/>
              </w:rPr>
              <w:t>Mild diabetic retinopathy.</w:t>
            </w:r>
          </w:p>
          <w:p>
            <w:pPr>
              <w:spacing w:before="0" w:after="20" w:line="232" w:lineRule="auto"/>
            </w:pPr>
            <w:r>
              <w:rPr>
                <w:rFonts w:ascii="Courier New" w:hAnsi="Courier New"/>
                <w:color w:val="111827"/>
                <w:sz w:val="17"/>
              </w:rPr>
              <w:t>CKD 3b.</w:t>
            </w:r>
          </w:p>
          <w:p>
            <w:pPr>
              <w:spacing w:before="0" w:after="20" w:line="232" w:lineRule="auto"/>
            </w:pPr>
            <w:r>
              <w:rPr>
                <w:rFonts w:ascii="Courier New" w:hAnsi="Courier New"/>
                <w:color w:val="111827"/>
                <w:sz w:val="17"/>
              </w:rPr>
              <w:t>Anemia of CKD.</w:t>
            </w:r>
          </w:p>
          <w:p>
            <w:pPr>
              <w:spacing w:before="0" w:after="20" w:line="232" w:lineRule="auto"/>
            </w:pPr>
            <w:r>
              <w:rPr>
                <w:rFonts w:ascii="Courier New" w:hAnsi="Courier New"/>
                <w:color w:val="111827"/>
                <w:sz w:val="17"/>
              </w:rPr>
              <w:t>Peripheral arterial disease.</w:t>
            </w:r>
          </w:p>
          <w:p>
            <w:pPr>
              <w:spacing w:before="0" w:after="20" w:line="232" w:lineRule="auto"/>
            </w:pPr>
            <w:r>
              <w:rPr>
                <w:rFonts w:ascii="Courier New" w:hAnsi="Courier New"/>
                <w:color w:val="111827"/>
                <w:sz w:val="17"/>
              </w:rPr>
              <w:t>HFpEF.</w:t>
            </w:r>
          </w:p>
          <w:p>
            <w:pPr>
              <w:spacing w:before="0" w:after="20" w:line="232" w:lineRule="auto"/>
            </w:pPr>
            <w:r>
              <w:rPr>
                <w:rFonts w:ascii="Courier New" w:hAnsi="Courier New"/>
                <w:color w:val="111827"/>
                <w:sz w:val="17"/>
              </w:rPr>
              <w:t>Hypertension.</w:t>
            </w:r>
          </w:p>
          <w:p>
            <w:pPr>
              <w:spacing w:before="0" w:after="20" w:line="232" w:lineRule="auto"/>
            </w:pPr>
            <w:r>
              <w:rPr>
                <w:rFonts w:ascii="Courier New" w:hAnsi="Courier New"/>
                <w:color w:val="111827"/>
                <w:sz w:val="17"/>
              </w:rPr>
              <w:t>Dyslipidemia.</w:t>
            </w:r>
          </w:p>
          <w:p>
            <w:pPr>
              <w:spacing w:before="0" w:after="20" w:line="232" w:lineRule="auto"/>
            </w:pPr>
            <w:r>
              <w:rPr>
                <w:rFonts w:ascii="Courier New" w:hAnsi="Courier New"/>
                <w:color w:val="111827"/>
                <w:sz w:val="17"/>
              </w:rPr>
              <w:t>Obesity.</w:t>
            </w:r>
          </w:p>
          <w:p>
            <w:pPr>
              <w:spacing w:before="0" w:after="20" w:line="232" w:lineRule="auto"/>
            </w:pPr>
            <w:r>
              <w:rPr>
                <w:rFonts w:ascii="Courier New" w:hAnsi="Courier New"/>
                <w:color w:val="111827"/>
                <w:sz w:val="17"/>
              </w:rPr>
              <w:t>Obstructive sleep apnea.</w:t>
            </w:r>
          </w:p>
          <w:p>
            <w:pPr>
              <w:spacing w:before="0" w:after="20" w:line="232" w:lineRule="auto"/>
            </w:pPr>
            <w:r>
              <w:rPr>
                <w:rFonts w:ascii="Courier New" w:hAnsi="Courier New"/>
                <w:color w:val="111827"/>
                <w:sz w:val="17"/>
              </w:rPr>
              <w:t>Osteoarthritis.</w:t>
            </w:r>
          </w:p>
          <w:p>
            <w:pPr>
              <w:spacing w:before="0" w:after="20" w:line="232" w:lineRule="auto"/>
            </w:pPr>
            <w:r>
              <w:rPr>
                <w:rFonts w:ascii="Courier New" w:hAnsi="Courier New"/>
                <w:color w:val="111827"/>
                <w:sz w:val="17"/>
              </w:rPr>
              <w:t>Limited mobility.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Submission cleanup:</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World Type declaration placed in the first paragraph.</w:t>
            </w:r>
          </w:p>
          <w:p>
            <w:pPr>
              <w:spacing w:before="0" w:after="20" w:line="232" w:lineRule="auto"/>
            </w:pPr>
            <w:r>
              <w:rPr>
                <w:rFonts w:ascii="Courier New" w:hAnsi="Courier New"/>
                <w:color w:val="111827"/>
                <w:sz w:val="17"/>
              </w:rPr>
              <w:t>Internal labels removed.</w:t>
            </w:r>
          </w:p>
          <w:p>
            <w:pPr>
              <w:spacing w:before="0" w:after="20" w:line="232" w:lineRule="auto"/>
            </w:pPr>
            <w:r>
              <w:rPr>
                <w:rFonts w:ascii="Courier New" w:hAnsi="Courier New"/>
                <w:color w:val="111827"/>
                <w:sz w:val="17"/>
              </w:rPr>
              <w:t>Task table kept reviewer-facing.</w:t>
            </w:r>
          </w:p>
          <w:p>
            <w:pPr>
              <w:spacing w:before="0" w:after="20" w:line="232" w:lineRule="auto"/>
            </w:pPr>
            <w:r>
              <w:rPr>
                <w:rFonts w:ascii="Courier New" w:hAnsi="Courier New"/>
                <w:color w:val="111827"/>
                <w:sz w:val="17"/>
              </w:rPr>
              <w:t>Task structures flattened to plain categories.</w:t>
            </w:r>
          </w:p>
          <w:p>
            <w:pPr>
              <w:spacing w:before="0" w:after="20" w:line="232" w:lineRule="auto"/>
            </w:pPr>
            <w:r>
              <w:rPr>
                <w:rFonts w:ascii="Courier New" w:hAnsi="Courier New"/>
                <w:color w:val="111827"/>
                <w:sz w:val="17"/>
              </w:rPr>
              <w:t>Requester roles retained.</w:t>
            </w:r>
          </w:p>
          <w:p>
            <w:pPr>
              <w:spacing w:before="0" w:after="20" w:line="232" w:lineRule="auto"/>
            </w:pPr>
            <w:r>
              <w:rPr>
                <w:rFonts w:ascii="Courier New" w:hAnsi="Courier New"/>
                <w:color w:val="111827"/>
                <w:sz w:val="17"/>
              </w:rPr>
              <w:t>Forced slot retained per task.</w:t>
            </w:r>
          </w:p>
          <w:p>
            <w:pPr>
              <w:spacing w:before="0" w:after="20" w:line="232" w:lineRule="auto"/>
            </w:pPr>
            <w:r>
              <w:rPr>
                <w:rFonts w:ascii="Courier New" w:hAnsi="Courier New"/>
                <w:color w:val="111827"/>
                <w:sz w:val="17"/>
              </w:rPr>
              <w:t>Distinct task-level trap retained per task.</w:t>
            </w:r>
          </w:p>
        </w:tc>
      </w:tr>
    </w:tbl>
    <w:p>
      <w:pPr>
        <w:spacing w:before="0" w:after="60" w:line="200" w:lineRule="auto"/>
      </w:pPr>
    </w:p>
    <w:p/>
    <w:p>
      <w:pPr>
        <w:spacing w:before="280" w:after="20" w:line="250" w:lineRule="auto"/>
      </w:pPr>
      <w:r>
        <w:rPr>
          <w:rFonts w:ascii="Arial" w:hAnsi="Arial"/>
          <w:b/>
          <w:color w:val="1F4D78"/>
          <w:sz w:val="24"/>
        </w:rPr>
        <w:t>12.</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Brainstorm AutoQC failed one item. It says workflows have categories, but priority labels only appear in aggregate. It wants both present for every task.</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That is a valid finding. Patch, do not argue.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Fix:</w:t>
            </w:r>
          </w:p>
          <w:p>
            <w:pPr>
              <w:spacing w:before="0" w:after="20" w:line="232" w:lineRule="auto"/>
            </w:pPr>
            <w:r>
              <w:rPr>
                <w:rFonts w:ascii="Courier New" w:hAnsi="Courier New"/>
                <w:color w:val="111827"/>
                <w:sz w:val="17"/>
              </w:rPr>
              <w:t>Add a Priority column to the ten-task table.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Assignments:</w:t>
            </w:r>
          </w:p>
          <w:p>
            <w:pPr>
              <w:spacing w:before="0" w:after="20" w:line="232" w:lineRule="auto"/>
            </w:pPr>
            <w:r>
              <w:rPr>
                <w:rFonts w:ascii="Courier New" w:hAnsi="Courier New"/>
                <w:color w:val="111827"/>
                <w:sz w:val="17"/>
              </w:rPr>
              <w:t>Tasks 1 through 5: P0.</w:t>
            </w:r>
          </w:p>
          <w:p>
            <w:pPr>
              <w:spacing w:before="0" w:after="20" w:line="232" w:lineRule="auto"/>
            </w:pPr>
            <w:r>
              <w:rPr>
                <w:rFonts w:ascii="Courier New" w:hAnsi="Courier New"/>
                <w:color w:val="111827"/>
                <w:sz w:val="17"/>
              </w:rPr>
              <w:t>Task 6: P1.</w:t>
            </w:r>
          </w:p>
          <w:p>
            <w:pPr>
              <w:spacing w:before="0" w:after="20" w:line="232" w:lineRule="auto"/>
            </w:pPr>
            <w:r>
              <w:rPr>
                <w:rFonts w:ascii="Courier New" w:hAnsi="Courier New"/>
                <w:color w:val="111827"/>
                <w:sz w:val="17"/>
              </w:rPr>
              <w:t>Tasks 7 through 10: P0.</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Update the supporting line:</w:t>
            </w:r>
          </w:p>
          <w:p>
            <w:pPr>
              <w:spacing w:before="0" w:after="20" w:line="232" w:lineRule="auto"/>
            </w:pPr>
            <w:r>
              <w:rPr>
                <w:rFonts w:ascii="Courier New" w:hAnsi="Courier New"/>
                <w:color w:val="111827"/>
                <w:sz w:val="17"/>
              </w:rPr>
              <w:t>Priority labels are explicit per task. Tasks 1 through 5 and 7 through 10 are P0. Task 6 is P1.</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This preserves the slate and closes the formal gate.</w:t>
            </w:r>
          </w:p>
        </w:tc>
      </w:tr>
    </w:tbl>
    <w:p>
      <w:pPr>
        <w:spacing w:before="0" w:after="60" w:line="200" w:lineRule="auto"/>
      </w:pPr>
    </w:p>
    <w:p/>
    <w:p>
      <w:pPr>
        <w:spacing w:before="280" w:after="20" w:line="250" w:lineRule="auto"/>
      </w:pPr>
      <w:r>
        <w:rPr>
          <w:rFonts w:ascii="Arial" w:hAnsi="Arial"/>
          <w:b/>
          <w:color w:val="1F4D78"/>
          <w:sz w:val="24"/>
        </w:rPr>
        <w:t>13.</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AutoQC passed. What next for us? Are we following the steps from the Korvin world to World Spec, templates, and submission?</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Next is human Brainstorm review, then World Spec. Do not draft the World Spec until the Brainstorm receives human GO and you authorize the phase shift.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World Spec submission will need: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The approved World Spec document.</w:t>
            </w:r>
          </w:p>
          <w:p>
            <w:pPr>
              <w:spacing w:before="0" w:after="20" w:line="232" w:lineRule="auto"/>
            </w:pPr>
            <w:r>
              <w:rPr>
                <w:rFonts w:ascii="Courier New" w:hAnsi="Courier New"/>
                <w:color w:val="111827"/>
                <w:sz w:val="17"/>
              </w:rPr>
              <w:t>2. World-level files, minimum 30 for new worlds.</w:t>
            </w:r>
          </w:p>
          <w:p>
            <w:pPr>
              <w:spacing w:before="0" w:after="20" w:line="232" w:lineRule="auto"/>
            </w:pPr>
            <w:r>
              <w:rPr>
                <w:rFonts w:ascii="Courier New" w:hAnsi="Courier New"/>
                <w:color w:val="111827"/>
                <w:sz w:val="17"/>
              </w:rPr>
              <w:t>3. Reference file package.</w:t>
            </w:r>
          </w:p>
          <w:p>
            <w:pPr>
              <w:spacing w:before="0" w:after="20" w:line="232" w:lineRule="auto"/>
            </w:pPr>
            <w:r>
              <w:rPr>
                <w:rFonts w:ascii="Courier New" w:hAnsi="Courier New"/>
                <w:color w:val="111827"/>
                <w:sz w:val="17"/>
              </w:rPr>
              <w:t>4. Brainstorm Claude transcript.</w:t>
            </w:r>
          </w:p>
          <w:p>
            <w:pPr>
              <w:spacing w:before="0" w:after="20" w:line="232" w:lineRule="auto"/>
            </w:pPr>
            <w:r>
              <w:rPr>
                <w:rFonts w:ascii="Courier New" w:hAnsi="Courier New"/>
                <w:color w:val="111827"/>
                <w:sz w:val="17"/>
              </w:rPr>
              <w:t>5. World Spec Claude transcript.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Brainstorm transcript should show the real workflow shape: physician-owned decisions, Claude-supported option generation, critique, patching after AutoQC, and final readiness.</w:t>
            </w:r>
          </w:p>
        </w:tc>
      </w:tr>
    </w:tbl>
    <w:p>
      <w:pPr>
        <w:spacing w:before="0" w:after="60" w:line="200" w:lineRule="auto"/>
      </w:pPr>
    </w:p>
    <w:p/>
    <w:p>
      <w:pPr>
        <w:spacing w:before="280" w:after="20" w:line="250" w:lineRule="auto"/>
      </w:pPr>
      <w:r>
        <w:rPr>
          <w:rFonts w:ascii="Arial" w:hAnsi="Arial"/>
          <w:b/>
          <w:color w:val="1F4D78"/>
          <w:sz w:val="24"/>
        </w:rPr>
        <w:t>14.</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Use the Claude chat link as the transcript source.</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Recorded source link:</w:t>
            </w:r>
          </w:p>
          <w:p>
            <w:pPr>
              <w:spacing w:before="0" w:after="20" w:line="232" w:lineRule="auto"/>
            </w:pPr>
            <w:r>
              <w:rPr>
                <w:rFonts w:ascii="Courier New" w:hAnsi="Courier New"/>
                <w:color w:val="111827"/>
                <w:sz w:val="17"/>
              </w:rPr>
              <w:t>https://claude.ai/share/7a6fd723-a3d7-487c-a6b2-798df59e5c91</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transcript packet should preserve the link, show the conversation as role-labeled turns, keep document excerpts inside code-style blocks, and avoid internal tooling language.</w:t>
            </w:r>
          </w:p>
        </w:tc>
      </w:tr>
    </w:tbl>
    <w:p>
      <w:pPr>
        <w:spacing w:before="0" w:after="60" w:line="200" w:lineRule="auto"/>
      </w:pPr>
    </w:p>
    <w:p/>
    <w:p>
      <w:pPr>
        <w:spacing w:before="280" w:after="20" w:line="250" w:lineRule="auto"/>
      </w:pPr>
      <w:r>
        <w:rPr>
          <w:rFonts w:ascii="Arial" w:hAnsi="Arial"/>
          <w:b/>
          <w:color w:val="1F4D78"/>
          <w:sz w:val="24"/>
        </w:rPr>
        <w:t>15.</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Final readiness check.</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Final readiness: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Brainstorm is ready for human review.</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It contains:</w:t>
            </w:r>
          </w:p>
          <w:p>
            <w:pPr>
              <w:spacing w:before="0" w:after="20" w:line="232" w:lineRule="auto"/>
            </w:pPr>
            <w:r>
              <w:rPr>
                <w:rFonts w:ascii="Courier New" w:hAnsi="Courier New"/>
                <w:color w:val="111827"/>
                <w:sz w:val="17"/>
              </w:rPr>
              <w:t>Four required concept elements.</w:t>
            </w:r>
          </w:p>
          <w:p>
            <w:pPr>
              <w:spacing w:before="0" w:after="20" w:line="232" w:lineRule="auto"/>
            </w:pPr>
            <w:r>
              <w:rPr>
                <w:rFonts w:ascii="Courier New" w:hAnsi="Courier New"/>
                <w:color w:val="111827"/>
                <w:sz w:val="17"/>
              </w:rPr>
              <w:t>Ten tasks.</w:t>
            </w:r>
          </w:p>
          <w:p>
            <w:pPr>
              <w:spacing w:before="0" w:after="20" w:line="232" w:lineRule="auto"/>
            </w:pPr>
            <w:r>
              <w:rPr>
                <w:rFonts w:ascii="Courier New" w:hAnsi="Courier New"/>
                <w:color w:val="111827"/>
                <w:sz w:val="17"/>
              </w:rPr>
              <w:t>Per-task requester roles.</w:t>
            </w:r>
          </w:p>
          <w:p>
            <w:pPr>
              <w:spacing w:before="0" w:after="20" w:line="232" w:lineRule="auto"/>
            </w:pPr>
            <w:r>
              <w:rPr>
                <w:rFonts w:ascii="Courier New" w:hAnsi="Courier New"/>
                <w:color w:val="111827"/>
                <w:sz w:val="17"/>
              </w:rPr>
              <w:t>Per-task workflow and priority labels.</w:t>
            </w:r>
          </w:p>
          <w:p>
            <w:pPr>
              <w:spacing w:before="0" w:after="20" w:line="232" w:lineRule="auto"/>
            </w:pPr>
            <w:r>
              <w:rPr>
                <w:rFonts w:ascii="Courier New" w:hAnsi="Courier New"/>
                <w:color w:val="111827"/>
                <w:sz w:val="17"/>
              </w:rPr>
              <w:t>Per-task forced slots.</w:t>
            </w:r>
          </w:p>
          <w:p>
            <w:pPr>
              <w:spacing w:before="0" w:after="20" w:line="232" w:lineRule="auto"/>
            </w:pPr>
            <w:r>
              <w:rPr>
                <w:rFonts w:ascii="Courier New" w:hAnsi="Courier New"/>
                <w:color w:val="111827"/>
                <w:sz w:val="17"/>
              </w:rPr>
              <w:t>Distinct task-level traps.</w:t>
            </w:r>
          </w:p>
          <w:p>
            <w:pPr>
              <w:spacing w:before="0" w:after="20" w:line="232" w:lineRule="auto"/>
            </w:pPr>
            <w:r>
              <w:rPr>
                <w:rFonts w:ascii="Courier New" w:hAnsi="Courier New"/>
                <w:color w:val="111827"/>
                <w:sz w:val="17"/>
              </w:rPr>
              <w:t>Explicit snapshot date and time.</w:t>
            </w:r>
          </w:p>
          <w:p>
            <w:pPr>
              <w:spacing w:before="0" w:after="20" w:line="232" w:lineRule="auto"/>
            </w:pPr>
            <w:r>
              <w:rPr>
                <w:rFonts w:ascii="Courier New" w:hAnsi="Courier New"/>
                <w:color w:val="111827"/>
                <w:sz w:val="17"/>
              </w:rPr>
              <w:t>Independent post-snapshot task branches.</w:t>
            </w:r>
          </w:p>
          <w:p>
            <w:pPr>
              <w:spacing w:before="0" w:after="20" w:line="232" w:lineRule="auto"/>
            </w:pPr>
            <w:r>
              <w:rPr>
                <w:rFonts w:ascii="Courier New" w:hAnsi="Courier New"/>
                <w:color w:val="111827"/>
                <w:sz w:val="17"/>
              </w:rPr>
              <w:t>No post-July 2025 knowledge dependency.</w:t>
            </w:r>
          </w:p>
          <w:p>
            <w:pPr>
              <w:spacing w:before="0" w:after="20" w:line="232" w:lineRule="auto"/>
            </w:pPr>
            <w:r>
              <w:rPr>
                <w:rFonts w:ascii="Courier New" w:hAnsi="Courier New"/>
                <w:color w:val="111827"/>
                <w:sz w:val="17"/>
              </w:rPr>
              <w:t>No same-author planted falsehood mechanism.</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Boundary:</w:t>
            </w:r>
          </w:p>
          <w:p>
            <w:pPr>
              <w:spacing w:before="0" w:after="20" w:line="232" w:lineRule="auto"/>
            </w:pPr>
            <w:r>
              <w:rPr>
                <w:rFonts w:ascii="Courier New" w:hAnsi="Courier New"/>
                <w:color w:val="111827"/>
                <w:sz w:val="17"/>
              </w:rPr>
              <w:t>World Spec drafting remains closed until human Brainstorm review returns GO and Alexander authorizes the next phase.</w:t>
            </w:r>
          </w:p>
        </w:tc>
      </w:tr>
    </w:tbl>
    <w:p>
      <w:pPr>
        <w:spacing w:before="0" w:after="60" w:line="200" w:lineRule="auto"/>
      </w:pP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Ondina Vasquell Brainstorm Claude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Ondina Vasquell Brainstorm Claude Transcript</dc:title>
  <dc:subject/>
  <dc:creator/>
  <cp:keywords/>
  <dc:description/>
  <cp:lastModifiedBy/>
  <cp:revision>1</cp:revision>
  <dcterms:created xsi:type="dcterms:W3CDTF">2013-12-23T23:15:00Z</dcterms:created>
  <dcterms:modified xsi:type="dcterms:W3CDTF">2013-12-23T23:15:00Z</dcterms:modified>
  <cp:category/>
</cp:coreProperties>
</file>