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Management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Lorna Defreze, RN, CCM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CARE MANAGEMENT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CHRONIC DISEASE MANAGEMENT AND HEALTH MAINTENANCE REVIEW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Lorna Defreze, RN, CCM - Care Management | Date of Service: 05/23/2026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05/23/2026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REVIEW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Diabetes: insulin-treated, last A1c 8.6 percent. Continue basal-bolus insulin; outpatient endocrinology follow-up.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kidney disease stage 3b: creatinine recovering toward baseline. Held oral agents deferred; nephrology and primary care follow-up.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Anemia of chronic kidney disease: hemoglobin stable at 9.8. Iron continued; outpatient monitoring.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Bone health and CKD mineral-bone disease: on cholecalciferol 2000 units daily; vitamin D repleted to target and metabolic bone disease stable. No DEXA or further metabolic bone workup indicated this admission.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Obstructive sleep apnea: continue home CPAP.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Health maintenance: dilated diabetic eye examination up to date 03/15/2026, mild nonproliferative retinopathy. Routine age-appropriate screening per primary care.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Lorna Defreze, RN, CCM on 05/23/2026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MANAGEMENT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MANAGEMENT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MANAGEMENT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