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Transitional Care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Case Management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CASE MANAGEMENT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HOME HEALTH SUITABILITY SCREEN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Case Management - Transitional Care | Date of Service: 05/24/2026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Transfer-day screen for post-acute level of care. Reviewed for suitability of discharge home with intermittent home-health services.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SCREEN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Wound: left forefoot ulcer, granulating base, no exposed bone. Stable and low acuity. Managed with routine daily dressing changes.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Wound-care need: routine dressing changes, within the scope of intermittent home-health skilled-nursing visits.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Mobility: offloading boot in place and patient educated on offloading. No skilled rehabilitation need identified.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Antibiotics: anticipate transition to oral; no inpatient-level antibiotic administration expected at home.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Caregiver: daughter available to assist at home.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SCREEN CONCLUSION</w:t>
      </w:r>
    </w:p>
    <w:p>
      <w:r>
        <w:rPr>
          <w:rFonts w:ascii="Arial" w:hAnsi="Arial"/>
          <w:b w:val="0"/>
          <w:i w:val="0"/>
          <w:color w:val="232830"/>
          <w:sz w:val="19"/>
        </w:rPr>
        <w:t>Patient suitable for discharge home with intermittent home-health wound care. No skilled nursing facility level of care indicated.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Case Management - Transitional Care on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CASE MANAGEMENT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CASE MANAGEMENT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CASE MANAGEMENT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