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Utilization and Appeals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Case Management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CASE MANAGEMENT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SNF APPEAL PREPARATION WORKSHEET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Case Management - Utilization and Appeals | Date of Service: 05/24/2026 | Status: Draft talking points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Talking points to strengthen the appeal of the skilled nursing facility denial. Use the strongest available grounds.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ARGUMENTS FOR SKILLED PLACEMENT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Skilled wound care: the transfer-day reassessment documents undermining tracking proximally, requiring skilled packing and serial wound-nurse assessment that intermittent home health cannot provide.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Osteomyelitis of the first and second metatarsal heads on MRI, requiring a 6-week course of intravenous antibiotics that intermittent home health cannot administer.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Offloading: occupational therapy teach-back was not achieved; the patient cannot perform her own skilled wound care.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Caregiver: lives alone in a second-floor walk-up; the daughter works nights and cannot provide daily care.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Case Management - Utilization and Appeals on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CASE MANAGEMENT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CASE MANAGEMENT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CASE MANAGEMENT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