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CCM Comprehensive Care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40" w:lineRule="auto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Marcus D. Whitfield  |  PED-2025-04471  |  10-year-old male  |  Initiation: 03/18/2026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Reconciled Medication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CONTINUE: </w:t>
      </w:r>
      <w:r w:rsidDel="00000000" w:rsidR="00000000" w:rsidRPr="00000000">
        <w:rPr>
          <w:sz w:val="22"/>
          <w:szCs w:val="22"/>
          <w:rtl w:val="0"/>
        </w:rPr>
        <w:t xml:space="preserve">Risperidone 1.5 mg QHS (corrected from 1 mg; decline increase to 2 mg). Methylphenidate ER 27 mg QAM. Clonidine 0.1 mg QHS (verify adherence). Symbicort 160/4.5 mcg BID. Albuterol MDI PRN. MiraLAX 17g daily.</w:t>
      </w:r>
    </w:p>
    <w:p w:rsidR="00000000" w:rsidDel="00000000" w:rsidP="00000000" w:rsidRDefault="00000000" w:rsidRPr="00000000" w14:paraId="00000005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STOP: </w:t>
      </w:r>
      <w:r w:rsidDel="00000000" w:rsidR="00000000" w:rsidRPr="00000000">
        <w:rPr>
          <w:sz w:val="22"/>
          <w:szCs w:val="22"/>
          <w:rtl w:val="0"/>
        </w:rPr>
        <w:t xml:space="preserve">Montelukast (FDA boxed warning; behavioral escalation linked to restart). Ferrous sulfate (IV iron preferred in active IBD; hold pending GI discussion).</w:t>
      </w:r>
    </w:p>
    <w:p w:rsidR="00000000" w:rsidDel="00000000" w:rsidP="00000000" w:rsidRDefault="00000000" w:rsidRPr="00000000" w14:paraId="00000006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HOLD: </w:t>
      </w:r>
      <w:r w:rsidDel="00000000" w:rsidR="00000000" w:rsidRPr="00000000">
        <w:rPr>
          <w:sz w:val="22"/>
          <w:szCs w:val="22"/>
          <w:rtl w:val="0"/>
        </w:rPr>
        <w:t xml:space="preserve">Infliximab (restart contingent on TB clearance, LFT normalization, and colonoscopy).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REMOVE: </w:t>
      </w:r>
      <w:r w:rsidDel="00000000" w:rsidR="00000000" w:rsidRPr="00000000">
        <w:rPr>
          <w:sz w:val="22"/>
          <w:szCs w:val="22"/>
          <w:rtl w:val="0"/>
        </w:rPr>
        <w:t xml:space="preserve">Fluoxetine (ghost med). Metoprolol (prior foster child).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UNVERIFIED: </w:t>
      </w:r>
      <w:r w:rsidDel="00000000" w:rsidR="00000000" w:rsidRPr="00000000">
        <w:rPr>
          <w:sz w:val="22"/>
          <w:szCs w:val="22"/>
          <w:rtl w:val="0"/>
        </w:rPr>
        <w:t xml:space="preserve">Fish oil. CONTINUE (OTC, clinician-endorsed): Melatonin 3 mg QHS.</w:t>
      </w:r>
    </w:p>
    <w:p w:rsidR="00000000" w:rsidDel="00000000" w:rsidP="00000000" w:rsidRDefault="00000000" w:rsidRPr="00000000" w14:paraId="00000007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Urgent Safety Concerns — Action Today</w:t>
      </w: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50"/>
        <w:tblGridChange w:id="0">
          <w:tblGrid>
            <w:gridCol w:w="1995"/>
            <w:gridCol w:w="82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TB Exposure — Urgent ID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Three-document exposure chain (immigration form + Spanish clinic note + DCFS summary). Incomplete maternal TB treatment, infant exposure. IGRA indeterminate. CXR: RUL opacity + hilar LAD, TB in differential. No workup during hospitalization.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Urgent Pediatric ID referral. Rifampin significantly reduces risperidone levels via CYP3A4/P-gp induction; request isoniazid-based regimen. Psychiatry co-management if rifamycin unavoidable. IDPH notification within 24h. Notify DCFS.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PCP (referral, IDPH); DCFS (notification).</w:t>
            </w:r>
          </w:p>
        </w:tc>
      </w:tr>
    </w:tbl>
    <w:p w:rsidR="00000000" w:rsidDel="00000000" w:rsidP="00000000" w:rsidRDefault="00000000" w:rsidRPr="00000000" w14:paraId="00000010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05"/>
        <w:tblGridChange w:id="0">
          <w:tblGrid>
            <w:gridCol w:w="1995"/>
            <w:gridCol w:w="82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Montelukast — Discontinue Today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 tonight. FDA boxed warning in ASD/PTSD/self-harm patient. Behavioral escalation 03/10–17 temporally linked to 03/02 restart.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PCP (order); Ms. Carter (disposal).</w:t>
            </w:r>
          </w:p>
        </w:tc>
      </w:tr>
    </w:tbl>
    <w:p w:rsidR="00000000" w:rsidDel="00000000" w:rsidP="00000000" w:rsidRDefault="00000000" w:rsidRPr="00000000" w14:paraId="00000017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20"/>
        <w:tblGridChange w:id="0">
          <w:tblGrid>
            <w:gridCol w:w="1995"/>
            <w:gridCol w:w="82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Ferrous Sulfate — Hold, Discuss IV Iron With 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Hold oral iron. IV iron preferred over oral in active IBD (ECCO/AGA). Discuss IV iron formulation with GI (ferritin 6). Do not restart without GI confirmation.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PCP (order); GI (formulation).</w:t>
            </w:r>
          </w:p>
        </w:tc>
      </w:tr>
    </w:tbl>
    <w:p w:rsidR="00000000" w:rsidDel="00000000" w:rsidP="00000000" w:rsidRDefault="00000000" w:rsidRPr="00000000" w14:paraId="0000001E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05"/>
        <w:tblGridChange w:id="0">
          <w:tblGrid>
            <w:gridCol w:w="1995"/>
            <w:gridCol w:w="82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Risperidone — Correct Dose, Decline Increase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Correct to 1.5 mg QHS (discharge listed 1 mg — transcription error). Decline 2 mg increase: LFTs elevated, BP 88/54, IGRA indeterminate, monitoring incomplete.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PCP (correction); Dr. Osei (communication).</w:t>
            </w:r>
          </w:p>
        </w:tc>
      </w:tr>
    </w:tbl>
    <w:p w:rsidR="00000000" w:rsidDel="00000000" w:rsidP="00000000" w:rsidRDefault="00000000" w:rsidRPr="00000000" w14:paraId="00000025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65"/>
        <w:tblGridChange w:id="0">
          <w:tblGrid>
            <w:gridCol w:w="1995"/>
            <w:gridCol w:w="8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Lead 21 µg/dL — Rising, Source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sdt>
              <w:sdtPr>
                <w:id w:val="10495029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Confiscate painted toy (pica source). Confirmatory venous level. Environmental lead inspection. Chelation eval if confirmed ≥20.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PCP (labs); Ms. Carter (toy); DCFS caseworker (lead inspection).</w:t>
            </w:r>
          </w:p>
        </w:tc>
      </w:tr>
    </w:tbl>
    <w:p w:rsidR="00000000" w:rsidDel="00000000" w:rsidP="00000000" w:rsidRDefault="00000000" w:rsidRPr="00000000" w14:paraId="0000002C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Chronic Conditions</w:t>
      </w:r>
      <w:r w:rsidDel="00000000" w:rsidR="00000000" w:rsidRPr="00000000">
        <w:rPr>
          <w:rtl w:val="0"/>
        </w:rPr>
      </w:r>
    </w:p>
    <w:tbl>
      <w:tblPr>
        <w:tblStyle w:val="Table6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50"/>
        <w:tblGridChange w:id="0">
          <w:tblGrid>
            <w:gridCol w:w="1995"/>
            <w:gridCol w:w="82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IBD — Crohn’s (Unconfirmed)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Infliximab restart contingent on: TB cleared by ID, LFTs normalized (currently ALT 78/AST 65, down from 92/78), colonoscopy with histologic confirmation (recommended 07/2025, never done). Prior auth lapsed 11/2025 — resubmission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 semi-urgent (2 wk). Colonoscopy timing depends on ID clearance.</w:t>
            </w:r>
          </w:p>
        </w:tc>
      </w:tr>
    </w:tbl>
    <w:p w:rsidR="00000000" w:rsidDel="00000000" w:rsidP="00000000" w:rsidRDefault="00000000" w:rsidRPr="00000000" w14:paraId="00000033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35"/>
        <w:tblGridChange w:id="0">
          <w:tblGrid>
            <w:gridCol w:w="1995"/>
            <w:gridCol w:w="82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7. Asthma (4 intubations) + OSA (undiagnosed)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Zero intubations in 12 months. New PSG referral (prior expired 01/2025). O2 89–91% + tonsils 3+ + snoring + witnessed apneas. Surgery timing deferred during TB workup.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Pulmonology (4 wk). Sleep medicine (2–4 wk).</w:t>
            </w:r>
          </w:p>
        </w:tc>
      </w:tr>
    </w:tbl>
    <w:p w:rsidR="00000000" w:rsidDel="00000000" w:rsidP="00000000" w:rsidRDefault="00000000" w:rsidRPr="00000000" w14:paraId="0000003A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20"/>
        <w:tblGridChange w:id="0">
          <w:tblGrid>
            <w:gridCol w:w="1995"/>
            <w:gridCol w:w="82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8. ASD / ADHD / PTSD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Behavioral stabilization. Coordinate Dr. Osei and Dr. Liang — currently not communicating. Clarify clonidine adherence (4-month fill gap). Sertraline discontinued ~7 months ago with no taper.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Psychiatry 2–4 wk. Dev peds 4–6 wk.</w:t>
            </w:r>
          </w:p>
        </w:tc>
      </w:tr>
    </w:tbl>
    <w:p w:rsidR="00000000" w:rsidDel="00000000" w:rsidP="00000000" w:rsidRDefault="00000000" w:rsidRPr="00000000" w14:paraId="00000041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05"/>
        <w:tblGridChange w:id="0">
          <w:tblGrid>
            <w:gridCol w:w="1995"/>
            <w:gridCol w:w="82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sdt>
              <w:sdtPr>
                <w:id w:val="-117806186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9. NF1 (VUS → Likely Pathogenic)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Genetics/Neurology referral (4–6 wk). Formal MRI read. Repeat MRI with optic nerve sequences — optic glioma cannot be excluded. Dual ophthalmology referral: Lisch nodules + strabismus.</w:t>
            </w:r>
          </w:p>
        </w:tc>
      </w:tr>
    </w:tbl>
    <w:p w:rsidR="00000000" w:rsidDel="00000000" w:rsidP="00000000" w:rsidRDefault="00000000" w:rsidRPr="00000000" w14:paraId="00000046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65"/>
        <w:tblGridChange w:id="0">
          <w:tblGrid>
            <w:gridCol w:w="1995"/>
            <w:gridCol w:w="8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 Metabolic Syndrome / Growth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sdt>
              <w:sdtPr>
                <w:id w:val="12423022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Complete ADA/APA metabolic monitoring. Repeat HbA1c and lipids at 3 months. Height 35th→10th, weight 22nd→7th over 36 months. Endocrinology follow-up 4–6 wk. MPH drug holiday trade-off with dev peds.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Preventive &amp; Administrative</w:t>
      </w:r>
      <w:r w:rsidDel="00000000" w:rsidR="00000000" w:rsidRPr="00000000">
        <w:rPr>
          <w:rtl w:val="0"/>
        </w:rPr>
      </w:r>
    </w:p>
    <w:tbl>
      <w:tblPr>
        <w:tblStyle w:val="Table11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35"/>
        <w:tblGridChange w:id="0">
          <w:tblGrid>
            <w:gridCol w:w="1995"/>
            <w:gridCol w:w="82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11. IEP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IEP from Roosevelt (08/2025) not transferred to Lincoln. 6+ wk without accommodations (IDEA 30-day violation). PCP documents medical necessity.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DCFS caseworker + school district. PCP: medical documentation only.</w:t>
            </w:r>
          </w:p>
        </w:tc>
      </w:tr>
    </w:tbl>
    <w:p w:rsidR="00000000" w:rsidDel="00000000" w:rsidP="00000000" w:rsidRDefault="00000000" w:rsidRPr="00000000" w14:paraId="00000052">
      <w:pPr>
        <w:spacing w:after="40" w:before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220"/>
        <w:tblGridChange w:id="0">
          <w:tblGrid>
            <w:gridCol w:w="1995"/>
            <w:gridCol w:w="82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12. Additional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Lead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DCFS caseworker arranges (legal obligation).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First exam 03/14: enamel hypoplasia, cavities, gingival inflammation. Communicate Crohn’s context to dentist.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Audiology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sdt>
              <w:sdtPr>
                <w:id w:val="154636848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Newborn ‘refer,’ age 3 ‘non-confirmatory’ (≠ pass). Formal audiometry required. Referral 4–6 wk.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PT recommended AFOs (bilateral toe walking). Orthotics + Ms. Carter.</w:t>
            </w:r>
          </w:p>
        </w:tc>
      </w:tr>
    </w:tbl>
    <w:p w:rsidR="00000000" w:rsidDel="00000000" w:rsidP="00000000" w:rsidRDefault="00000000" w:rsidRPr="00000000" w14:paraId="0000005D">
      <w:pPr>
        <w:spacing w:after="4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Medication reconciliation completed: 03/18/2026. Care plan shared with Ms. Carter: 03/18/2026.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before="3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before="3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7"/>
      <w:szCs w:val="17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hsJpTH6hdXp1ZD3rIxa8IwJCw==">CgMxLjAaHQoBMBIYChYIB0ISEhBBcmlhbCBVbmljb2RlIE1TGh0KATESGAoWCAdCEhIQQXJpYWwgVW5pY29kZSBNUxodCgEyEhgKFggHQhISEEFyaWFsIFVuaWNvZGUgTVMaHQoBMxIYChYIB0ISEhBBcmlhbCBVbmljb2RlIE1TOAByITFWLXptVnF5MDNCWTZ4VEVxQnl5cWtxd1h1YnNYUFVHcg==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