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I'm setting up Marcus Whitfield as a new CCM patient after his intake visit today — March 18, 2026. He's a 10-year-old in foster care — fourth placement in three years, new to our clinic, no established PCP. His foster mom Ms. Carter brought in a grocery bag of pill bottles, a handwritten med list from the prior foster worker, and a USB drive with brain MRI images. Records got partially faxed from two different county systems and his old PCP is unreachable.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His chart is attached. Build out the full CCM care plan. Organize by clinical urgency — urgent safety concerns first, then active chronic conditions, then preventive and administrative items. For each problem I need specific goals, interventions, the responsible party (and don't just default everything to PCP — some of this is DCFS, some is school, some is specialist), and a timeline. Flag anything that needs action before he leaves the building today.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AH4gVo+qR8CPz4q9vclZ0rr8A==">CgMxLjA4AHIhMThSdFhFcXc2c3hlVE8xWEI2Y0wyN296RW1RcTdkdmNy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