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 w:before="40" w:lineRule="auto"/>
        <w:rPr>
          <w:sz w:val="22"/>
          <w:szCs w:val="22"/>
        </w:rPr>
      </w:pPr>
      <w:r w:rsidDel="00000000" w:rsidR="00000000" w:rsidRPr="00000000">
        <w:rPr>
          <w:b w:val="1"/>
          <w:bCs w:val="1"/>
          <w:sz w:val="26"/>
          <w:szCs w:val="26"/>
          <w:rtl w:val="0"/>
        </w:rPr>
        <w:t xml:space="preserve">GRADER GUIDELINES — TASK 1: CCM CARE PLAN</w:t>
      </w:r>
      <w:r w:rsidDel="00000000" w:rsidR="00000000" w:rsidRPr="00000000">
        <w:rPr>
          <w:rtl w:val="0"/>
        </w:rPr>
      </w:r>
    </w:p>
    <w:p w:rsidR="00000000" w:rsidDel="00000000" w:rsidP="00000000" w:rsidRDefault="00000000" w:rsidRPr="00000000" w14:paraId="00000002">
      <w:pPr>
        <w:spacing w:after="120" w:before="40" w:lineRule="auto"/>
        <w:rPr>
          <w:sz w:val="22"/>
          <w:szCs w:val="22"/>
        </w:rPr>
      </w:pPr>
      <w:r w:rsidDel="00000000" w:rsidR="00000000" w:rsidRPr="00000000">
        <w:rPr>
          <w:rtl w:val="0"/>
        </w:rPr>
        <w:t xml:space="preserve">Marcus D. Whitfield  |  PED-2025-04471  |  10-year-old male</w:t>
      </w:r>
      <w:r w:rsidDel="00000000" w:rsidR="00000000" w:rsidRPr="00000000">
        <w:rPr>
          <w:rtl w:val="0"/>
        </w:rPr>
      </w:r>
    </w:p>
    <w:p w:rsidR="00000000" w:rsidDel="00000000" w:rsidP="00000000" w:rsidRDefault="00000000" w:rsidRPr="00000000" w14:paraId="00000003">
      <w:pPr>
        <w:spacing w:after="40" w:before="40" w:lineRule="auto"/>
        <w:rPr>
          <w:sz w:val="22"/>
          <w:szCs w:val="22"/>
        </w:rPr>
      </w:pPr>
      <w:r w:rsidDel="00000000" w:rsidR="00000000" w:rsidRPr="00000000">
        <w:rPr>
          <w:sz w:val="22"/>
          <w:szCs w:val="22"/>
          <w:rtl w:val="0"/>
        </w:rPr>
        <w:t xml:space="preserve">You are reviewing a Chronic Care Management care plan for Marcus Whitfield, a 10-year-old male in foster care presenting for an initial intake visit. He has 10 active chronic conditions, medications from 3 independent prescribers who do not communicate, and a fragmented record from two county systems. The prompt asked for a care plan organized by clinical urgency with goals, interventions, responsible parties, and timelines.</w:t>
      </w:r>
    </w:p>
    <w:p w:rsidR="00000000" w:rsidDel="00000000" w:rsidP="00000000" w:rsidRDefault="00000000" w:rsidRPr="00000000" w14:paraId="00000004">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GOLDEN REFERENCE</w:t>
      </w:r>
      <w:r w:rsidDel="00000000" w:rsidR="00000000" w:rsidRPr="00000000">
        <w:rPr>
          <w:rtl w:val="0"/>
        </w:rPr>
      </w:r>
    </w:p>
    <w:p w:rsidR="00000000" w:rsidDel="00000000" w:rsidP="00000000" w:rsidRDefault="00000000" w:rsidRPr="00000000" w14:paraId="00000005">
      <w:pPr>
        <w:spacing w:after="40" w:before="40" w:lineRule="auto"/>
        <w:rPr>
          <w:sz w:val="22"/>
          <w:szCs w:val="22"/>
        </w:rPr>
      </w:pPr>
      <w:r w:rsidDel="00000000" w:rsidR="00000000" w:rsidRPr="00000000">
        <w:rPr>
          <w:sz w:val="22"/>
          <w:szCs w:val="22"/>
          <w:rtl w:val="0"/>
        </w:rPr>
        <w:t xml:space="preserve">Open World_003_T1_Golden_Response.docx before grading. Use it as the benchmark for the sections below.</w:t>
      </w:r>
    </w:p>
    <w:p w:rsidR="00000000" w:rsidDel="00000000" w:rsidP="00000000" w:rsidRDefault="00000000" w:rsidRPr="00000000" w14:paraId="00000006">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A) CLINICAL ACCURACY — MUST BE PRESENT AND CORRECT</w:t>
      </w:r>
      <w:r w:rsidDel="00000000" w:rsidR="00000000" w:rsidRPr="00000000">
        <w:rPr>
          <w:rtl w:val="0"/>
        </w:rPr>
      </w:r>
    </w:p>
    <w:p w:rsidR="00000000" w:rsidDel="00000000" w:rsidP="00000000" w:rsidRDefault="00000000" w:rsidRPr="00000000" w14:paraId="00000007">
      <w:pPr>
        <w:spacing w:after="40" w:before="40" w:lineRule="auto"/>
        <w:rPr>
          <w:sz w:val="22"/>
          <w:szCs w:val="22"/>
        </w:rPr>
      </w:pPr>
      <w:r w:rsidDel="00000000" w:rsidR="00000000" w:rsidRPr="00000000">
        <w:rPr>
          <w:sz w:val="22"/>
          <w:szCs w:val="22"/>
          <w:rtl w:val="0"/>
        </w:rPr>
        <w:t xml:space="preserve">Five urgent safety items requiring same-day action. The model must reconstruct the TB exposure chain from three documents across two languages, link it to the indeterminate IGRA and unresolved CXR finding, and place an urgent ID referral noting the rifampin-risperidone interaction (CYP3A4/P-gp induction significantly reduces risperidone levels). Montelukast must be flagged for the FDA boxed warning in ASD/PTSD/self-harm. Either “stop” or “hold and discuss urgently with pulmonology/psychiatry” is acceptable as long as the risk is explicitly identified. Ferrous sulfate must be flagged — IV iron is preferred over oral in active IBD (ECCO/AGA). Either “stop and arrange IV iron” or “hold pending GI discussion” is acceptable. IV iron arrangement is a 1–2 week follow-up, not a same-day action. The risperidone dose must be corrected from 1 mg to 1.5 mg and the psychiatry dose increase declined with clinical rationale. The rising lead level must be identified with the painted toy as the source and DCFS attributed as responsible for the environmental inspection.</w:t>
      </w:r>
    </w:p>
    <w:p w:rsidR="00000000" w:rsidDel="00000000" w:rsidP="00000000" w:rsidRDefault="00000000" w:rsidRPr="00000000" w14:paraId="00000008">
      <w:pPr>
        <w:spacing w:after="40" w:before="40" w:lineRule="auto"/>
        <w:rPr>
          <w:sz w:val="22"/>
          <w:szCs w:val="22"/>
        </w:rPr>
      </w:pPr>
      <w:r w:rsidDel="00000000" w:rsidR="00000000" w:rsidRPr="00000000">
        <w:rPr>
          <w:sz w:val="22"/>
          <w:szCs w:val="22"/>
          <w:rtl w:val="0"/>
        </w:rPr>
        <w:t xml:space="preserve">The infliximab restart must be documented as contingent on TB clearance, LFT normalization, and colonoscopy for histologic confirmation. A model that plans restart based only on LFTs has accepted the GI hold letter’s incomplete assessment.</w:t>
      </w:r>
    </w:p>
    <w:p w:rsidR="00000000" w:rsidDel="00000000" w:rsidP="00000000" w:rsidRDefault="00000000" w:rsidRPr="00000000" w14:paraId="00000009">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B) SCOPE AND FORMAT</w:t>
      </w:r>
      <w:r w:rsidDel="00000000" w:rsidR="00000000" w:rsidRPr="00000000">
        <w:rPr>
          <w:rtl w:val="0"/>
        </w:rPr>
      </w:r>
    </w:p>
    <w:p w:rsidR="00000000" w:rsidDel="00000000" w:rsidP="00000000" w:rsidRDefault="00000000" w:rsidRPr="00000000" w14:paraId="0000000A">
      <w:pPr>
        <w:spacing w:after="40" w:before="40" w:lineRule="auto"/>
        <w:rPr>
          <w:sz w:val="22"/>
          <w:szCs w:val="22"/>
        </w:rPr>
      </w:pPr>
      <w:r w:rsidDel="00000000" w:rsidR="00000000" w:rsidRPr="00000000">
        <w:rPr>
          <w:sz w:val="22"/>
          <w:szCs w:val="22"/>
          <w:rtl w:val="0"/>
        </w:rPr>
        <w:t xml:space="preserve">The prompt specifies urgency-based organization. Each problem should include goals, interventions, responsible parties, and timelines. The specific format does not matter; the content does. Responsible party attribution is a critical discriminator — the prompt explicitly warns against defaulting everything to PCP. The IEP transfer is DCFS and school district. The lead inspection is a DCFS legal obligation. A model that assigns all non-clinical interventions to PCP has violated a direct instruction in the prompt. Do not penalize structural variation — tables vs. structured text, section ordering, and header labels differ across institutions.</w:t>
      </w:r>
    </w:p>
    <w:p w:rsidR="00000000" w:rsidDel="00000000" w:rsidP="00000000" w:rsidRDefault="00000000" w:rsidRPr="00000000" w14:paraId="0000000B">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C) GOOD PRACTICE — SHOWN IN GOLDEN ANSWER, NOT REQUIRED</w:t>
      </w:r>
      <w:r w:rsidDel="00000000" w:rsidR="00000000" w:rsidRPr="00000000">
        <w:rPr>
          <w:rtl w:val="0"/>
        </w:rPr>
      </w:r>
    </w:p>
    <w:p w:rsidR="00000000" w:rsidDel="00000000" w:rsidP="00000000" w:rsidRDefault="00000000" w:rsidRPr="00000000" w14:paraId="0000000C">
      <w:pPr>
        <w:spacing w:after="40" w:before="40" w:lineRule="auto"/>
        <w:rPr>
          <w:sz w:val="22"/>
          <w:szCs w:val="22"/>
        </w:rPr>
      </w:pPr>
      <w:sdt>
        <w:sdtPr>
          <w:id w:val="-388016481"/>
          <w:tag w:val="goog_rdk_0"/>
        </w:sdtPr>
        <w:sdtContent>
          <w:r w:rsidDel="00000000" w:rsidR="00000000" w:rsidRPr="00000000">
            <w:rPr>
              <w:rFonts w:ascii="Arial Unicode MS" w:cs="Arial Unicode MS" w:eastAsia="Arial Unicode MS" w:hAnsi="Arial Unicode MS"/>
              <w:sz w:val="22"/>
              <w:szCs w:val="22"/>
              <w:rtl w:val="0"/>
            </w:rPr>
            <w:t xml:space="preserve">Identifying the sertraline discontinuation as a system failure rather than just a missing taper. Noting the ICD-10 reclassification for NF1 (Z15.89 → Q85.01). Flagging the lapsed infliximab prior authorization as an administrative barrier. Noting the optic pathway was not imaged and optic glioma cannot be excluded. Specifying the dual-purpose ophthalmology referral (Lisch nodules + strabismus). Identifying the methylphenidate drug holiday trade-off with growth failure.</w:t>
          </w:r>
        </w:sdtContent>
      </w:sdt>
    </w:p>
    <w:p w:rsidR="00000000" w:rsidDel="00000000" w:rsidP="00000000" w:rsidRDefault="00000000" w:rsidRPr="00000000" w14:paraId="0000000D">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D) KNOWN ERRORS — PENALIZE FOR</w:t>
      </w:r>
      <w:r w:rsidDel="00000000" w:rsidR="00000000" w:rsidRPr="00000000">
        <w:rPr>
          <w:rtl w:val="0"/>
        </w:rPr>
      </w:r>
    </w:p>
    <w:p w:rsidR="00000000" w:rsidDel="00000000" w:rsidP="00000000" w:rsidRDefault="00000000" w:rsidRPr="00000000" w14:paraId="0000000E">
      <w:pPr>
        <w:spacing w:after="40" w:before="40" w:lineRule="auto"/>
        <w:rPr>
          <w:sz w:val="22"/>
          <w:szCs w:val="22"/>
        </w:rPr>
      </w:pPr>
      <w:r w:rsidDel="00000000" w:rsidR="00000000" w:rsidRPr="00000000">
        <w:rPr>
          <w:sz w:val="22"/>
          <w:szCs w:val="22"/>
          <w:rtl w:val="0"/>
        </w:rPr>
        <w:t xml:space="preserve">Models accept the discharge summary medication list at face value. It is the most recent document and contains medication discrepancies (risperidone 1 mg is a transcription error; montelukast and ferrous sulfate require clinical review against the FDA boxed warning and IBD status respectively). A model that builds from this list without cross-referencing pharmacy records has failed on anchoring resistance. A related pattern: models approve the risperidone dose increase because the psychiatry note appears clinically justified in isolation, without checking LFTs, BP, or IGRA status.</w:t>
      </w:r>
    </w:p>
    <w:p w:rsidR="00000000" w:rsidDel="00000000" w:rsidP="00000000" w:rsidRDefault="00000000" w:rsidRPr="00000000" w14:paraId="0000000F">
      <w:pPr>
        <w:spacing w:after="40" w:before="40" w:lineRule="auto"/>
        <w:rPr>
          <w:sz w:val="22"/>
          <w:szCs w:val="22"/>
        </w:rPr>
      </w:pPr>
      <w:r w:rsidDel="00000000" w:rsidR="00000000" w:rsidRPr="00000000">
        <w:rPr>
          <w:sz w:val="22"/>
          <w:szCs w:val="22"/>
          <w:rtl w:val="0"/>
        </w:rPr>
        <w:t xml:space="preserve">Models miss the TB exposure chain because no single document states the exposure explicitly. A model that notes the indeterminate IGRA in isolation without connecting it to the exposure history has identified a data point but not performed clinical synthesis. A related pattern: models over-pathologize the MRI findings (NF1 UBOs are benign) while missing the real concern (optic pathway not imaged, glioma cannot be excluded).</w:t>
      </w:r>
    </w:p>
    <w:p w:rsidR="00000000" w:rsidDel="00000000" w:rsidP="00000000" w:rsidRDefault="00000000" w:rsidRPr="00000000" w14:paraId="00000010">
      <w:pPr>
        <w:spacing w:after="40" w:before="40" w:lineRule="auto"/>
        <w:rPr>
          <w:sz w:val="22"/>
          <w:szCs w:val="22"/>
        </w:rPr>
      </w:pPr>
      <w:r w:rsidDel="00000000" w:rsidR="00000000" w:rsidRPr="00000000">
        <w:rPr>
          <w:sz w:val="22"/>
          <w:szCs w:val="22"/>
          <w:rtl w:val="0"/>
        </w:rPr>
        <w:t xml:space="preserve">Models attribute the behavioral escalation to ASD progression or placement stress without recognizing the FDA boxed warning neuropsychiatric risk in this patient’s profile (ASD, PTSD, self-harm history). The temporal correlation between the 03/02 restart and 03/10 escalation supports but is not required for the discontinuation decision — the FDA warning alone is sufficient. Note: pharmacy records show montelukast was filled 01/05/2026 and administered through February without this escalation pattern, so a model that observes the temporal link is imprecise should not be penalized if it still flags the boxed warning. Sertraline discontinuation syndrome would have manifested in 10/2025, not 03/2026.</w:t>
      </w:r>
    </w:p>
    <w:p w:rsidR="00000000" w:rsidDel="00000000" w:rsidP="00000000" w:rsidRDefault="00000000" w:rsidRPr="00000000" w14:paraId="00000011">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SCORING</w:t>
      </w:r>
      <w:r w:rsidDel="00000000" w:rsidR="00000000" w:rsidRPr="00000000">
        <w:rPr>
          <w:rtl w:val="0"/>
        </w:rPr>
      </w:r>
    </w:p>
    <w:p w:rsidR="00000000" w:rsidDel="00000000" w:rsidP="00000000" w:rsidRDefault="00000000" w:rsidRPr="00000000" w14:paraId="00000012">
      <w:pPr>
        <w:spacing w:after="40" w:before="40" w:lineRule="auto"/>
        <w:rPr>
          <w:sz w:val="22"/>
          <w:szCs w:val="22"/>
        </w:rPr>
      </w:pPr>
      <w:r w:rsidDel="00000000" w:rsidR="00000000" w:rsidRPr="00000000">
        <w:rPr>
          <w:sz w:val="22"/>
          <w:szCs w:val="22"/>
          <w:rtl w:val="0"/>
        </w:rPr>
        <w:t xml:space="preserve">Provide a single score between 0–1 with reasoning. Format: &lt;reasoning&gt;...&lt;/reasoning&gt;&lt;score&gt;...&lt;/score&gt;</w:t>
      </w:r>
    </w:p>
    <w:p w:rsidR="00000000" w:rsidDel="00000000" w:rsidP="00000000" w:rsidRDefault="00000000" w:rsidRPr="00000000" w14:paraId="00000013">
      <w:pPr>
        <w:spacing w:after="40" w:before="40" w:lineRule="auto"/>
        <w:rPr>
          <w:b w:val="1"/>
          <w:bCs w:val="1"/>
          <w:sz w:val="26"/>
          <w:szCs w:val="26"/>
        </w:rPr>
      </w:pPr>
      <w:r w:rsidDel="00000000" w:rsidR="00000000" w:rsidRPr="00000000">
        <w:rPr>
          <w:rtl w:val="0"/>
        </w:rPr>
      </w:r>
    </w:p>
    <w:p w:rsidR="00000000" w:rsidDel="00000000" w:rsidP="00000000" w:rsidRDefault="00000000" w:rsidRPr="00000000" w14:paraId="00000014">
      <w:pPr>
        <w:spacing w:after="80" w:before="80" w:lineRule="auto"/>
        <w:rPr>
          <w:b w:val="1"/>
          <w:bCs w:val="1"/>
          <w:color w:val="1f4e79"/>
          <w:sz w:val="24"/>
          <w:szCs w:val="24"/>
        </w:rPr>
      </w:pPr>
      <w:r w:rsidDel="00000000" w:rsidR="00000000" w:rsidRPr="00000000">
        <w:rPr>
          <w:rtl w:val="0"/>
        </w:rPr>
      </w:r>
    </w:p>
    <w:p w:rsidR="00000000" w:rsidDel="00000000" w:rsidP="00000000" w:rsidRDefault="00000000" w:rsidRPr="00000000" w14:paraId="00000015">
      <w:pPr>
        <w:spacing w:after="40" w:before="40" w:lineRule="auto"/>
        <w:rPr>
          <w:b w:val="1"/>
          <w:bCs w:val="1"/>
          <w:sz w:val="26"/>
          <w:szCs w:val="26"/>
        </w:rPr>
      </w:pPr>
      <w:r w:rsidDel="00000000" w:rsidR="00000000" w:rsidRPr="00000000">
        <w:rPr>
          <w:rtl w:val="0"/>
        </w:rPr>
      </w:r>
    </w:p>
    <w:p w:rsidR="00000000" w:rsidDel="00000000" w:rsidP="00000000" w:rsidRDefault="00000000" w:rsidRPr="00000000" w14:paraId="00000016">
      <w:pPr>
        <w:spacing w:after="80" w:before="80" w:lineRule="auto"/>
        <w:rPr>
          <w:b w:val="1"/>
          <w:bCs w:val="1"/>
          <w:color w:val="1f4e79"/>
          <w:sz w:val="24"/>
          <w:szCs w:val="24"/>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CPni07FKdlNbGX6oG3BYF3qqmw==">CgMxLjAaHQoBMBIYChYIB0ISEhBBcmlhbCBVbmljb2RlIE1TOAByITF1VjdiNWJEMVNkRC1jekJJM2lVdGlnNlVCY1VQdTZTNQ==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