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 w:before="40" w:lineRule="auto"/>
        <w:rPr>
          <w:sz w:val="22"/>
          <w:szCs w:val="22"/>
        </w:rPr>
      </w:pPr>
      <w:r w:rsidDel="00000000" w:rsidR="00000000" w:rsidRPr="00000000">
        <w:rPr>
          <w:b w:val="1"/>
          <w:bCs w:val="1"/>
          <w:sz w:val="26"/>
          <w:szCs w:val="26"/>
          <w:rtl w:val="0"/>
        </w:rPr>
        <w:t xml:space="preserve">GRADER GUIDELINES — TASK 2: MEDICATION RECONCILIATION</w:t>
      </w:r>
      <w:r w:rsidDel="00000000" w:rsidR="00000000" w:rsidRPr="00000000">
        <w:rPr>
          <w:rtl w:val="0"/>
        </w:rPr>
      </w:r>
    </w:p>
    <w:p w:rsidR="00000000" w:rsidDel="00000000" w:rsidP="00000000" w:rsidRDefault="00000000" w:rsidRPr="00000000" w14:paraId="00000002">
      <w:pPr>
        <w:spacing w:after="120" w:before="40" w:lineRule="auto"/>
        <w:rPr>
          <w:sz w:val="22"/>
          <w:szCs w:val="22"/>
        </w:rPr>
      </w:pPr>
      <w:r w:rsidDel="00000000" w:rsidR="00000000" w:rsidRPr="00000000">
        <w:rPr>
          <w:rtl w:val="0"/>
        </w:rPr>
        <w:t xml:space="preserve">Marcus D. Whitfield  |  PED-2025-04471  |  10-year-old male</w:t>
      </w:r>
      <w:r w:rsidDel="00000000" w:rsidR="00000000" w:rsidRPr="00000000">
        <w:rPr>
          <w:rtl w:val="0"/>
        </w:rPr>
      </w:r>
    </w:p>
    <w:p w:rsidR="00000000" w:rsidDel="00000000" w:rsidP="00000000" w:rsidRDefault="00000000" w:rsidRPr="00000000" w14:paraId="00000003">
      <w:pPr>
        <w:spacing w:after="40" w:before="40" w:lineRule="auto"/>
        <w:rPr>
          <w:sz w:val="22"/>
          <w:szCs w:val="22"/>
        </w:rPr>
      </w:pPr>
      <w:r w:rsidDel="00000000" w:rsidR="00000000" w:rsidRPr="00000000">
        <w:rPr>
          <w:sz w:val="22"/>
          <w:szCs w:val="22"/>
          <w:rtl w:val="0"/>
        </w:rPr>
        <w:t xml:space="preserve">You are reviewing a medication reconciliation document prepared for Marcus Whitfield’s foster parent, Ms. Renee Carter, following an initial intake visit. The prompt asked for a plain-language document Ms. Carter can act on at home tonight, organized by medication status, with every discrepancy flagged. No medical jargon.</w:t>
      </w:r>
    </w:p>
    <w:p w:rsidR="00000000" w:rsidDel="00000000" w:rsidP="00000000" w:rsidRDefault="00000000" w:rsidRPr="00000000" w14:paraId="00000004">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GOLDEN REFERENCE</w:t>
      </w:r>
      <w:r w:rsidDel="00000000" w:rsidR="00000000" w:rsidRPr="00000000">
        <w:rPr>
          <w:rtl w:val="0"/>
        </w:rPr>
      </w:r>
    </w:p>
    <w:p w:rsidR="00000000" w:rsidDel="00000000" w:rsidP="00000000" w:rsidRDefault="00000000" w:rsidRPr="00000000" w14:paraId="00000005">
      <w:pPr>
        <w:spacing w:after="40" w:before="40" w:lineRule="auto"/>
        <w:rPr>
          <w:sz w:val="22"/>
          <w:szCs w:val="22"/>
        </w:rPr>
      </w:pPr>
      <w:r w:rsidDel="00000000" w:rsidR="00000000" w:rsidRPr="00000000">
        <w:rPr>
          <w:sz w:val="22"/>
          <w:szCs w:val="22"/>
          <w:rtl w:val="0"/>
        </w:rPr>
        <w:t xml:space="preserve">Open World_003_T2_Golden_Response.docx before grading.</w:t>
      </w:r>
    </w:p>
    <w:p w:rsidR="00000000" w:rsidDel="00000000" w:rsidP="00000000" w:rsidRDefault="00000000" w:rsidRPr="00000000" w14:paraId="00000006">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A) MEDICATION SAFETY — MUST BE PRESENT AND CORRECT</w:t>
      </w:r>
      <w:r w:rsidDel="00000000" w:rsidR="00000000" w:rsidRPr="00000000">
        <w:rPr>
          <w:rtl w:val="0"/>
        </w:rPr>
      </w:r>
    </w:p>
    <w:p w:rsidR="00000000" w:rsidDel="00000000" w:rsidP="00000000" w:rsidRDefault="00000000" w:rsidRPr="00000000" w14:paraId="00000007">
      <w:pPr>
        <w:spacing w:after="40" w:before="40" w:lineRule="auto"/>
        <w:rPr>
          <w:sz w:val="22"/>
          <w:szCs w:val="22"/>
        </w:rPr>
      </w:pPr>
      <w:r w:rsidDel="00000000" w:rsidR="00000000" w:rsidRPr="00000000">
        <w:rPr>
          <w:sz w:val="22"/>
          <w:szCs w:val="22"/>
          <w:rtl w:val="0"/>
        </w:rPr>
        <w:t xml:space="preserve">Medication reconciliation at a care transition includes appropriateness review as a baseline professional responsibility, not only source-to-source matching. Risperidone dose must be corrected from 1 mg to 1.5 mg by cross-referencing pharmacy records and/or the pill bottle label. Montelukast must be flagged for the FDA boxed warning for serious neuropsychiatric events (added to the label in March 2020) in a patient with ASD, PTSD, and prior psychiatric hospitalizations — this is widely-known pediatric prescribing knowledge. Either “stop” or “hold and discuss urgently with pulmonology/psychiatry” is acceptable as long as the risk is explicitly communicated to Ms. Carter. Ferrous sulfate must be flagged because ferritin is 6 µg/L after approximately 7 months of oral iron therapy in a child with active inflammatory bowel disease — the lack of response on oral iron and the underlying IBD both raise the oral-vs-IV formulation question (ECCO/AGA guidance favors IV iron in this setting). Either “stop and arrange IV iron” or “continue per Dr. Patel with IV iron discussion at GI visit” is acceptable as long as the oral-vs-IV question is raised. Metoprolol must be excluded entirely — pill bottle shows a different patient name and a 2023 fill date. Sertraline must be identified as discontinued with the timeline contradiction noted. Fluoxetine must be identified as a ghost medication — listed by Dr. Sharma but never filled. Fish oil must be categorized as unverified (only on foster parent intake form, no prescriber). Melatonin has clinician endorsement in the chart (Dr. Osei, discharge medication list) and should not be treated as unverified. Risperidone dose correction and metoprolol exclusion are binary patient safety failures. The remaining items must be identified and addressed but accept clinically defensible variation in the recommended action.</w:t>
      </w:r>
    </w:p>
    <w:p w:rsidR="00000000" w:rsidDel="00000000" w:rsidP="00000000" w:rsidRDefault="00000000" w:rsidRPr="00000000" w14:paraId="00000008">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B) SCOPE AND FORMAT</w:t>
      </w:r>
      <w:r w:rsidDel="00000000" w:rsidR="00000000" w:rsidRPr="00000000">
        <w:rPr>
          <w:rtl w:val="0"/>
        </w:rPr>
      </w:r>
    </w:p>
    <w:p w:rsidR="00000000" w:rsidDel="00000000" w:rsidP="00000000" w:rsidRDefault="00000000" w:rsidRPr="00000000" w14:paraId="00000009">
      <w:pPr>
        <w:spacing w:after="40" w:before="40" w:lineRule="auto"/>
        <w:rPr>
          <w:sz w:val="22"/>
          <w:szCs w:val="22"/>
        </w:rPr>
      </w:pPr>
      <w:r w:rsidDel="00000000" w:rsidR="00000000" w:rsidRPr="00000000">
        <w:rPr>
          <w:sz w:val="22"/>
          <w:szCs w:val="22"/>
          <w:rtl w:val="0"/>
        </w:rPr>
        <w:t xml:space="preserve">This is a patient-facing document. Penalize meaningfully for: clinical abbreviations without plain-language equivalents; a flat undifferentiated list with no categorization by medication status; physician-to-physician formatting inappropriate for a foster parent audience. Do not penalize variation in category labels, ordering, or supplementary patient education.</w:t>
      </w:r>
    </w:p>
    <w:p w:rsidR="00000000" w:rsidDel="00000000" w:rsidP="00000000" w:rsidRDefault="00000000" w:rsidRPr="00000000" w14:paraId="0000000A">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C) GOOD PRACTICE — SHOWN IN GOLDEN ANSWER, NOT REQUIRED</w:t>
      </w:r>
      <w:r w:rsidDel="00000000" w:rsidR="00000000" w:rsidRPr="00000000">
        <w:rPr>
          <w:rtl w:val="0"/>
        </w:rPr>
      </w:r>
    </w:p>
    <w:p w:rsidR="00000000" w:rsidDel="00000000" w:rsidP="00000000" w:rsidRDefault="00000000" w:rsidRPr="00000000" w14:paraId="0000000B">
      <w:pPr>
        <w:spacing w:after="40" w:before="40" w:lineRule="auto"/>
        <w:rPr>
          <w:sz w:val="22"/>
          <w:szCs w:val="22"/>
        </w:rPr>
      </w:pPr>
      <w:r w:rsidDel="00000000" w:rsidR="00000000" w:rsidRPr="00000000">
        <w:rPr>
          <w:sz w:val="22"/>
          <w:szCs w:val="22"/>
          <w:rtl w:val="0"/>
        </w:rPr>
        <w:t xml:space="preserve">Specific source conflict callouts within medication instructions (e.g., ‘the hospital list says 1 mg but the correct dose is 1.5 mg’). Disposal instructions for medications removed from the home. Warning that clonidine should not be restarted abruptly after a fill gap. Including completed medications (prednisolone, azithromycin) to prevent confusion. Emergency contact instructions and return precautions. Framing the sertraline situation as a system failure rather than just a missing taper. Noting that melatonin is OTC and caregiver-purchased even though clinicians have endorsed continuing it.</w:t>
      </w:r>
    </w:p>
    <w:p w:rsidR="00000000" w:rsidDel="00000000" w:rsidP="00000000" w:rsidRDefault="00000000" w:rsidRPr="00000000" w14:paraId="0000000C">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D) KNOWN ERRORS — PENALIZE FOR</w:t>
      </w:r>
      <w:r w:rsidDel="00000000" w:rsidR="00000000" w:rsidRPr="00000000">
        <w:rPr>
          <w:rtl w:val="0"/>
        </w:rPr>
      </w:r>
    </w:p>
    <w:p w:rsidR="00000000" w:rsidDel="00000000" w:rsidP="00000000" w:rsidRDefault="00000000" w:rsidRPr="00000000" w14:paraId="0000000D">
      <w:pPr>
        <w:spacing w:after="40" w:before="40" w:lineRule="auto"/>
        <w:rPr>
          <w:sz w:val="22"/>
          <w:szCs w:val="22"/>
        </w:rPr>
      </w:pPr>
      <w:r w:rsidDel="00000000" w:rsidR="00000000" w:rsidRPr="00000000">
        <w:rPr>
          <w:sz w:val="22"/>
          <w:szCs w:val="22"/>
          <w:rtl w:val="0"/>
        </w:rPr>
        <w:t xml:space="preserve">Models anchor on the discharge summary — it is the most recent document and contains three simultaneous issues. The risperidone 1 mg entry is a transcription error that pharmacy records and the pill bottle label directly contradict; this is caught by source cross-referencing. The montelukast and ferrous sulfate entries are active at discharge and confirmed by pharmacy — these are not source discrepancies but appropriateness failures that require the model to apply clinical knowledge about the FDA boxed warning and oral iron in active IBD. A model that reproduces all three entries uncritically has treated the discharge summary as authoritative on both reconciliation and appropriateness. A related pattern: models add metoprolol because a pill bottle is visible in the photo, without reading the label showing a different patient name and a 2023 fill date.</w:t>
      </w:r>
    </w:p>
    <w:p w:rsidR="00000000" w:rsidDel="00000000" w:rsidP="00000000" w:rsidRDefault="00000000" w:rsidRPr="00000000" w14:paraId="0000000E">
      <w:pPr>
        <w:spacing w:after="40" w:before="40" w:lineRule="auto"/>
        <w:rPr>
          <w:sz w:val="22"/>
          <w:szCs w:val="22"/>
        </w:rPr>
      </w:pPr>
      <w:r w:rsidDel="00000000" w:rsidR="00000000" w:rsidRPr="00000000">
        <w:rPr>
          <w:sz w:val="22"/>
          <w:szCs w:val="22"/>
          <w:rtl w:val="0"/>
        </w:rPr>
        <w:t xml:space="preserve">Models treat the foster parent’s intake form as equivalent to a prescription record. Ms. Carter listed fish oil, which is not prescribed or filled by any clinician. A model that marks fish oil as ‘continue’ has not distinguished between caregiver reporting and clinician orders. Melatonin has clinician endorsement in the chart and should not be penalized if continued.</w:t>
      </w:r>
    </w:p>
    <w:p w:rsidR="00000000" w:rsidDel="00000000" w:rsidP="00000000" w:rsidRDefault="00000000" w:rsidRPr="00000000" w14:paraId="0000000F">
      <w:pPr>
        <w:spacing w:after="40" w:before="40" w:lineRule="auto"/>
        <w:rPr>
          <w:sz w:val="22"/>
          <w:szCs w:val="22"/>
        </w:rPr>
      </w:pPr>
      <w:r w:rsidDel="00000000" w:rsidR="00000000" w:rsidRPr="00000000">
        <w:rPr>
          <w:sz w:val="22"/>
          <w:szCs w:val="22"/>
          <w:rtl w:val="0"/>
        </w:rPr>
        <w:t xml:space="preserve">Models mark sertraline as ‘discontinued — no action needed’ without flagging the timeline contradiction. The psychiatry note and pharmacy record disagree on when it was stopped, and at a 7-month fill gap a child with PTSD lost access to his antidepressant without any provider noticing.</w:t>
      </w:r>
    </w:p>
    <w:p w:rsidR="00000000" w:rsidDel="00000000" w:rsidP="00000000" w:rsidRDefault="00000000" w:rsidRPr="00000000" w14:paraId="00000010">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SCORING</w:t>
      </w:r>
      <w:r w:rsidDel="00000000" w:rsidR="00000000" w:rsidRPr="00000000">
        <w:rPr>
          <w:rtl w:val="0"/>
        </w:rPr>
      </w:r>
    </w:p>
    <w:p w:rsidR="00000000" w:rsidDel="00000000" w:rsidP="00000000" w:rsidRDefault="00000000" w:rsidRPr="00000000" w14:paraId="00000011">
      <w:pPr>
        <w:spacing w:after="40" w:before="40" w:lineRule="auto"/>
        <w:rPr>
          <w:sz w:val="22"/>
          <w:szCs w:val="22"/>
        </w:rPr>
      </w:pPr>
      <w:r w:rsidDel="00000000" w:rsidR="00000000" w:rsidRPr="00000000">
        <w:rPr>
          <w:sz w:val="22"/>
          <w:szCs w:val="22"/>
          <w:rtl w:val="0"/>
        </w:rPr>
        <w:t xml:space="preserve">Provide a single score between 0–1 with reasoning. Format: &lt;reasoning&gt;...&lt;/reasoning&gt;&lt;score&gt;...&lt;/score&gt;</w:t>
      </w:r>
    </w:p>
    <w:p w:rsidR="00000000" w:rsidDel="00000000" w:rsidP="00000000" w:rsidRDefault="00000000" w:rsidRPr="00000000" w14:paraId="00000012">
      <w:pPr>
        <w:spacing w:after="40" w:before="40" w:lineRule="auto"/>
        <w:rPr>
          <w:b w:val="1"/>
          <w:bCs w:val="1"/>
          <w:sz w:val="26"/>
          <w:szCs w:val="26"/>
        </w:rPr>
      </w:pPr>
      <w:r w:rsidDel="00000000" w:rsidR="00000000" w:rsidRPr="00000000">
        <w:rPr>
          <w:rtl w:val="0"/>
        </w:rPr>
      </w:r>
    </w:p>
    <w:p w:rsidR="00000000" w:rsidDel="00000000" w:rsidP="00000000" w:rsidRDefault="00000000" w:rsidRPr="00000000" w14:paraId="00000013">
      <w:pPr>
        <w:spacing w:after="80" w:before="80" w:lineRule="auto"/>
        <w:rPr>
          <w:b w:val="1"/>
          <w:bCs w:val="1"/>
          <w:color w:val="1f4e79"/>
          <w:sz w:val="24"/>
          <w:szCs w:val="24"/>
        </w:rPr>
      </w:pPr>
      <w:r w:rsidDel="00000000" w:rsidR="00000000" w:rsidRPr="00000000">
        <w:rPr>
          <w:rtl w:val="0"/>
        </w:rPr>
      </w:r>
    </w:p>
    <w:p w:rsidR="00000000" w:rsidDel="00000000" w:rsidP="00000000" w:rsidRDefault="00000000" w:rsidRPr="00000000" w14:paraId="00000014">
      <w:pPr>
        <w:spacing w:after="40" w:before="40" w:lineRule="auto"/>
        <w:rPr>
          <w:b w:val="1"/>
          <w:bCs w:val="1"/>
          <w:sz w:val="26"/>
          <w:szCs w:val="26"/>
        </w:rPr>
      </w:pPr>
      <w:r w:rsidDel="00000000" w:rsidR="00000000" w:rsidRPr="00000000">
        <w:rPr>
          <w:rtl w:val="0"/>
        </w:rPr>
      </w:r>
    </w:p>
    <w:p w:rsidR="00000000" w:rsidDel="00000000" w:rsidP="00000000" w:rsidRDefault="00000000" w:rsidRPr="00000000" w14:paraId="00000015">
      <w:pPr>
        <w:spacing w:after="80" w:before="80" w:lineRule="auto"/>
        <w:rPr>
          <w:b w:val="1"/>
          <w:bCs w:val="1"/>
          <w:color w:val="1f4e79"/>
          <w:sz w:val="24"/>
          <w:szCs w:val="24"/>
        </w:rPr>
      </w:pPr>
      <w:r w:rsidDel="00000000" w:rsidR="00000000" w:rsidRPr="00000000">
        <w:rPr>
          <w:rtl w:val="0"/>
        </w:rPr>
      </w:r>
    </w:p>
    <w:p w:rsidR="00000000" w:rsidDel="00000000" w:rsidP="00000000" w:rsidRDefault="00000000" w:rsidRPr="00000000" w14:paraId="00000016">
      <w:pPr>
        <w:spacing w:after="40" w:before="40" w:lineRule="auto"/>
        <w:rPr>
          <w:b w:val="1"/>
          <w:bCs w:val="1"/>
          <w:sz w:val="26"/>
          <w:szCs w:val="26"/>
        </w:rPr>
      </w:pPr>
      <w:r w:rsidDel="00000000" w:rsidR="00000000" w:rsidRPr="00000000">
        <w:rPr>
          <w:rtl w:val="0"/>
        </w:rPr>
      </w:r>
    </w:p>
    <w:p w:rsidR="00000000" w:rsidDel="00000000" w:rsidP="00000000" w:rsidRDefault="00000000" w:rsidRPr="00000000" w14:paraId="00000017">
      <w:pPr>
        <w:spacing w:after="80" w:before="80" w:lineRule="auto"/>
        <w:rPr>
          <w:b w:val="1"/>
          <w:bCs w:val="1"/>
          <w:color w:val="1f4e79"/>
          <w:sz w:val="24"/>
          <w:szCs w:val="24"/>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Q5GnKq6IMckDKfyoRZNVqSXPOQ==">CgMxLjA4AHIhMU9xUWxPRVFsTXdiN0hvREUtdWhqRkJwMmw4cUxaV2Nj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