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 w:before="40" w:lineRule="auto"/>
        <w:rPr>
          <w:sz w:val="22"/>
          <w:szCs w:val="22"/>
        </w:rPr>
      </w:pPr>
      <w:r w:rsidDel="00000000" w:rsidR="00000000" w:rsidRPr="00000000">
        <w:rPr>
          <w:b w:val="1"/>
          <w:bCs w:val="1"/>
          <w:sz w:val="26"/>
          <w:szCs w:val="26"/>
          <w:rtl w:val="0"/>
        </w:rPr>
        <w:t xml:space="preserve">GRADER GUIDELINES — TASK 3: SPECIALIST REFERRAL LETTERS</w:t>
      </w:r>
      <w:r w:rsidDel="00000000" w:rsidR="00000000" w:rsidRPr="00000000">
        <w:rPr>
          <w:rtl w:val="0"/>
        </w:rPr>
      </w:r>
    </w:p>
    <w:p w:rsidR="00000000" w:rsidDel="00000000" w:rsidP="00000000" w:rsidRDefault="00000000" w:rsidRPr="00000000" w14:paraId="00000002">
      <w:pPr>
        <w:spacing w:after="120" w:before="40" w:lineRule="auto"/>
        <w:rPr>
          <w:sz w:val="22"/>
          <w:szCs w:val="22"/>
        </w:rPr>
      </w:pPr>
      <w:r w:rsidDel="00000000" w:rsidR="00000000" w:rsidRPr="00000000">
        <w:rPr>
          <w:rtl w:val="0"/>
        </w:rPr>
        <w:t xml:space="preserve">Marcus D. Whitfield  |  PED-2025-04471  |  10-year-old male</w:t>
      </w:r>
      <w:r w:rsidDel="00000000" w:rsidR="00000000" w:rsidRPr="00000000">
        <w:rPr>
          <w:rtl w:val="0"/>
        </w:rPr>
      </w:r>
    </w:p>
    <w:p w:rsidR="00000000" w:rsidDel="00000000" w:rsidP="00000000" w:rsidRDefault="00000000" w:rsidRPr="00000000" w14:paraId="00000003">
      <w:pPr>
        <w:spacing w:after="40" w:before="40" w:lineRule="auto"/>
        <w:rPr>
          <w:sz w:val="22"/>
          <w:szCs w:val="22"/>
        </w:rPr>
      </w:pPr>
      <w:r w:rsidDel="00000000" w:rsidR="00000000" w:rsidRPr="00000000">
        <w:rPr>
          <w:sz w:val="22"/>
          <w:szCs w:val="22"/>
          <w:rtl w:val="0"/>
        </w:rPr>
        <w:t xml:space="preserve">You are reviewing three specialist referral packages prepared for Marcus Whitfield following an initial intake visit. The model was asked to produce referral letters for Pediatric Infectious Disease, Pediatric Gastroenterology, and Genetics/Neurology, each with a clinical indication, relevant history, current medications, recent diagnostics, a specific consult question, a curated document attachment list by filename, an urgency level, and cross-referral dependencies stated where applicable.</w:t>
      </w:r>
    </w:p>
    <w:p w:rsidR="00000000" w:rsidDel="00000000" w:rsidP="00000000" w:rsidRDefault="00000000" w:rsidRPr="00000000" w14:paraId="00000004">
      <w:pPr>
        <w:pBdr>
          <w:bottom w:color="000000" w:space="2" w:sz="4" w:val="single"/>
        </w:pBdr>
        <w:spacing w:after="60" w:before="200" w:lineRule="auto"/>
        <w:rPr>
          <w:sz w:val="22"/>
          <w:szCs w:val="22"/>
        </w:rPr>
      </w:pPr>
      <w:r w:rsidDel="00000000" w:rsidR="00000000" w:rsidRPr="00000000">
        <w:rPr>
          <w:b w:val="1"/>
          <w:bCs w:val="1"/>
          <w:sz w:val="24"/>
          <w:szCs w:val="24"/>
          <w:rtl w:val="0"/>
        </w:rPr>
        <w:t xml:space="preserve">GOLDEN REFERENCE</w:t>
      </w:r>
      <w:r w:rsidDel="00000000" w:rsidR="00000000" w:rsidRPr="00000000">
        <w:rPr>
          <w:rtl w:val="0"/>
        </w:rPr>
      </w:r>
    </w:p>
    <w:p w:rsidR="00000000" w:rsidDel="00000000" w:rsidP="00000000" w:rsidRDefault="00000000" w:rsidRPr="00000000" w14:paraId="00000005">
      <w:pPr>
        <w:spacing w:after="40" w:before="40" w:lineRule="auto"/>
        <w:rPr>
          <w:sz w:val="22"/>
          <w:szCs w:val="22"/>
        </w:rPr>
      </w:pPr>
      <w:r w:rsidDel="00000000" w:rsidR="00000000" w:rsidRPr="00000000">
        <w:rPr>
          <w:sz w:val="22"/>
          <w:szCs w:val="22"/>
          <w:rtl w:val="0"/>
        </w:rPr>
        <w:t xml:space="preserve">Open World_003_T3_Golden_Response.docx before grading.</w:t>
      </w:r>
    </w:p>
    <w:p w:rsidR="00000000" w:rsidDel="00000000" w:rsidP="00000000" w:rsidRDefault="00000000" w:rsidRPr="00000000" w14:paraId="00000006">
      <w:pPr>
        <w:pBdr>
          <w:bottom w:color="000000" w:space="2" w:sz="4" w:val="single"/>
        </w:pBdr>
        <w:spacing w:after="60" w:before="200" w:lineRule="auto"/>
        <w:rPr>
          <w:sz w:val="22"/>
          <w:szCs w:val="22"/>
        </w:rPr>
      </w:pPr>
      <w:r w:rsidDel="00000000" w:rsidR="00000000" w:rsidRPr="00000000">
        <w:rPr>
          <w:b w:val="1"/>
          <w:bCs w:val="1"/>
          <w:sz w:val="24"/>
          <w:szCs w:val="24"/>
          <w:rtl w:val="0"/>
        </w:rPr>
        <w:t xml:space="preserve">A) CLINICAL ACCURACY — MUST BE PRESENT AND CORRECT</w:t>
      </w:r>
      <w:r w:rsidDel="00000000" w:rsidR="00000000" w:rsidRPr="00000000">
        <w:rPr>
          <w:rtl w:val="0"/>
        </w:rPr>
      </w:r>
    </w:p>
    <w:p w:rsidR="00000000" w:rsidDel="00000000" w:rsidP="00000000" w:rsidRDefault="00000000" w:rsidRPr="00000000" w14:paraId="00000007">
      <w:pPr>
        <w:spacing w:after="40" w:before="40" w:lineRule="auto"/>
        <w:rPr>
          <w:sz w:val="22"/>
          <w:szCs w:val="22"/>
        </w:rPr>
      </w:pPr>
      <w:r w:rsidDel="00000000" w:rsidR="00000000" w:rsidRPr="00000000">
        <w:rPr>
          <w:sz w:val="22"/>
          <w:szCs w:val="22"/>
          <w:rtl w:val="0"/>
        </w:rPr>
        <w:t xml:space="preserve">The ID referral must reconstruct the TB exposure chain from three documents across two languages, connect it to the indeterminate IGRA and unresolved CXR finding, and produce a specific consult question about latent vs. active TB. The referral must note the rifampin-risperidone interaction (CYP3A4/P-gp induction significantly reduces risperidone levels). A model that writes ‘please evaluate for TB’ without mentioning the rifampin-risperidone interaction has produced a referral that forces the specialist to discover a significant drug interaction at the point of care. Accept any clear mention of the interaction — do not require the word ‘contraindication’ or a specific mechanism label. ID should be the most urgent referral.</w:t>
      </w:r>
    </w:p>
    <w:p w:rsidR="00000000" w:rsidDel="00000000" w:rsidP="00000000" w:rsidRDefault="00000000" w:rsidRPr="00000000" w14:paraId="00000008">
      <w:pPr>
        <w:spacing w:after="40" w:before="40" w:lineRule="auto"/>
        <w:rPr>
          <w:sz w:val="22"/>
          <w:szCs w:val="22"/>
        </w:rPr>
      </w:pPr>
      <w:r w:rsidDel="00000000" w:rsidR="00000000" w:rsidRPr="00000000">
        <w:rPr>
          <w:sz w:val="22"/>
          <w:szCs w:val="22"/>
          <w:rtl w:val="0"/>
        </w:rPr>
        <w:t xml:space="preserve">The GI referral must acknowledge the cross-referral dependency on ID — colonoscopy cannot proceed until TB is cleared. The consult question should address colonoscopy for histologic confirmation, infliximab restart readiness, bridge therapy, and IV iron formulation. The lapsed prior authorization should be noted. GI should be intermediate urgency, contingent on ID outcome.</w:t>
      </w:r>
    </w:p>
    <w:p w:rsidR="00000000" w:rsidDel="00000000" w:rsidP="00000000" w:rsidRDefault="00000000" w:rsidRPr="00000000" w14:paraId="00000009">
      <w:pPr>
        <w:spacing w:after="40" w:before="40" w:lineRule="auto"/>
        <w:rPr>
          <w:sz w:val="22"/>
          <w:szCs w:val="22"/>
        </w:rPr>
      </w:pPr>
      <w:r w:rsidDel="00000000" w:rsidR="00000000" w:rsidRPr="00000000">
        <w:rPr>
          <w:sz w:val="22"/>
          <w:szCs w:val="22"/>
          <w:rtl w:val="0"/>
        </w:rPr>
        <w:t xml:space="preserve">The Genetics/Neurology referral must correctly characterize the MRI findings — T2 hyperintensities are NF1 UBOs (benign), not alarming lesions. The real concern is that optic pathway sequences were not included, meaning optic glioma cannot be excluded. The ophthalmology evaluation (Lisch nodules + strabismus) should be embedded within this package or noted as a parallel referral — the prompt asks for three packages, not four. Genetics/Neurology should be the least urgent. Accept any clinically reasonable timeframes across all three.</w:t>
      </w:r>
    </w:p>
    <w:p w:rsidR="00000000" w:rsidDel="00000000" w:rsidP="00000000" w:rsidRDefault="00000000" w:rsidRPr="00000000" w14:paraId="0000000A">
      <w:pPr>
        <w:pBdr>
          <w:bottom w:color="000000" w:space="2" w:sz="4" w:val="single"/>
        </w:pBdr>
        <w:spacing w:after="60" w:before="200" w:lineRule="auto"/>
        <w:rPr>
          <w:sz w:val="22"/>
          <w:szCs w:val="22"/>
        </w:rPr>
      </w:pPr>
      <w:r w:rsidDel="00000000" w:rsidR="00000000" w:rsidRPr="00000000">
        <w:rPr>
          <w:b w:val="1"/>
          <w:bCs w:val="1"/>
          <w:sz w:val="24"/>
          <w:szCs w:val="24"/>
          <w:rtl w:val="0"/>
        </w:rPr>
        <w:t xml:space="preserve">B) SCOPE AND FORMAT</w:t>
      </w:r>
      <w:r w:rsidDel="00000000" w:rsidR="00000000" w:rsidRPr="00000000">
        <w:rPr>
          <w:rtl w:val="0"/>
        </w:rPr>
      </w:r>
    </w:p>
    <w:p w:rsidR="00000000" w:rsidDel="00000000" w:rsidP="00000000" w:rsidRDefault="00000000" w:rsidRPr="00000000" w14:paraId="0000000B">
      <w:pPr>
        <w:spacing w:after="40" w:before="40" w:lineRule="auto"/>
        <w:rPr>
          <w:sz w:val="22"/>
          <w:szCs w:val="22"/>
        </w:rPr>
      </w:pPr>
      <w:r w:rsidDel="00000000" w:rsidR="00000000" w:rsidRPr="00000000">
        <w:rPr>
          <w:sz w:val="22"/>
          <w:szCs w:val="22"/>
          <w:rtl w:val="0"/>
        </w:rPr>
        <w:t xml:space="preserve">The prompt asks for three distinct packages with specialist-specific content. Penalize meaningfully for: three identical letters with the same content and document lists; attaching the full chart to each referral instead of curating; vague consult questions (‘please evaluate’); no urgency differentiation. Per-letter urgency levels and the GI-ID cross-dependency are expected. Do not penalize structural variation — letter format, section ordering, and header labels differ across institutions.</w:t>
      </w:r>
    </w:p>
    <w:p w:rsidR="00000000" w:rsidDel="00000000" w:rsidP="00000000" w:rsidRDefault="00000000" w:rsidRPr="00000000" w14:paraId="0000000C">
      <w:pPr>
        <w:pBdr>
          <w:bottom w:color="000000" w:space="2" w:sz="4" w:val="single"/>
        </w:pBdr>
        <w:spacing w:after="60" w:before="200" w:lineRule="auto"/>
        <w:rPr>
          <w:sz w:val="22"/>
          <w:szCs w:val="22"/>
        </w:rPr>
      </w:pPr>
      <w:r w:rsidDel="00000000" w:rsidR="00000000" w:rsidRPr="00000000">
        <w:rPr>
          <w:b w:val="1"/>
          <w:bCs w:val="1"/>
          <w:sz w:val="24"/>
          <w:szCs w:val="24"/>
          <w:rtl w:val="0"/>
        </w:rPr>
        <w:t xml:space="preserve">C) GOOD PRACTICE — SHOWN IN GOLDEN ANSWER, NOT REQUIRED</w:t>
      </w:r>
      <w:r w:rsidDel="00000000" w:rsidR="00000000" w:rsidRPr="00000000">
        <w:rPr>
          <w:rtl w:val="0"/>
        </w:rPr>
      </w:r>
    </w:p>
    <w:p w:rsidR="00000000" w:rsidDel="00000000" w:rsidP="00000000" w:rsidRDefault="00000000" w:rsidRPr="00000000" w14:paraId="0000000D">
      <w:pPr>
        <w:spacing w:after="40" w:before="40" w:lineRule="auto"/>
        <w:rPr>
          <w:sz w:val="22"/>
          <w:szCs w:val="22"/>
        </w:rPr>
      </w:pPr>
      <w:sdt>
        <w:sdtPr>
          <w:id w:val="-1551235899"/>
          <w:tag w:val="goog_rdk_0"/>
        </w:sdtPr>
        <w:sdtContent>
          <w:r w:rsidDel="00000000" w:rsidR="00000000" w:rsidRPr="00000000">
            <w:rPr>
              <w:rFonts w:ascii="Arial Unicode MS" w:cs="Arial Unicode MS" w:eastAsia="Arial Unicode MS" w:hAnsi="Arial Unicode MS"/>
              <w:sz w:val="22"/>
              <w:szCs w:val="22"/>
              <w:rtl w:val="0"/>
            </w:rPr>
            <w:t xml:space="preserve">Explicit 1/2/3 priority ranking across all three referrals with clinical rationale. Listing current medications once at the top for all three letters rather than repeating per referral. Noting the prior infliximab exposure as a possible contributor to the indeterminate IGRA. Specifying the ophthalmology glasses prescription (OD +1.25, OS +2.00). Including the ICD-10 reclassification (Z15.89 → Q85.01) in the Genetics referral. Noting the dental consult as relevant for oral Crohn’s assessment in the GI attachment list. Including immunization records (no BCG) in the ID attachment list to confirm TST is not confounded.</w:t>
          </w:r>
        </w:sdtContent>
      </w:sdt>
    </w:p>
    <w:p w:rsidR="00000000" w:rsidDel="00000000" w:rsidP="00000000" w:rsidRDefault="00000000" w:rsidRPr="00000000" w14:paraId="0000000E">
      <w:pPr>
        <w:pBdr>
          <w:bottom w:color="000000" w:space="2" w:sz="4" w:val="single"/>
        </w:pBdr>
        <w:spacing w:after="60" w:before="200" w:lineRule="auto"/>
        <w:rPr>
          <w:sz w:val="22"/>
          <w:szCs w:val="22"/>
        </w:rPr>
      </w:pPr>
      <w:r w:rsidDel="00000000" w:rsidR="00000000" w:rsidRPr="00000000">
        <w:rPr>
          <w:b w:val="1"/>
          <w:bCs w:val="1"/>
          <w:sz w:val="24"/>
          <w:szCs w:val="24"/>
          <w:rtl w:val="0"/>
        </w:rPr>
        <w:t xml:space="preserve">D) KNOWN ERRORS — PENALIZE FOR</w:t>
      </w:r>
      <w:r w:rsidDel="00000000" w:rsidR="00000000" w:rsidRPr="00000000">
        <w:rPr>
          <w:rtl w:val="0"/>
        </w:rPr>
      </w:r>
    </w:p>
    <w:p w:rsidR="00000000" w:rsidDel="00000000" w:rsidP="00000000" w:rsidRDefault="00000000" w:rsidRPr="00000000" w14:paraId="0000000F">
      <w:pPr>
        <w:spacing w:after="40" w:before="40" w:lineRule="auto"/>
        <w:rPr>
          <w:sz w:val="22"/>
          <w:szCs w:val="22"/>
        </w:rPr>
      </w:pPr>
      <w:r w:rsidDel="00000000" w:rsidR="00000000" w:rsidRPr="00000000">
        <w:rPr>
          <w:sz w:val="22"/>
          <w:szCs w:val="22"/>
          <w:rtl w:val="0"/>
        </w:rPr>
        <w:t xml:space="preserve">Models omit the rifampin-risperidone interaction from the ID referral. The significant reduction in risperidone levels with rifampin co-administration (via CYP3A4/P-gp induction) is not something an ID specialist would automatically know. Omitting it delays treatment planning.</w:t>
      </w:r>
    </w:p>
    <w:p w:rsidR="00000000" w:rsidDel="00000000" w:rsidP="00000000" w:rsidRDefault="00000000" w:rsidRPr="00000000" w14:paraId="00000010">
      <w:pPr>
        <w:spacing w:after="40" w:before="40" w:lineRule="auto"/>
        <w:rPr>
          <w:sz w:val="22"/>
          <w:szCs w:val="22"/>
        </w:rPr>
      </w:pPr>
      <w:sdt>
        <w:sdtPr>
          <w:id w:val="-602643649"/>
          <w:tag w:val="goog_rdk_1"/>
        </w:sdtPr>
        <w:sdtContent>
          <w:r w:rsidDel="00000000" w:rsidR="00000000" w:rsidRPr="00000000">
            <w:rPr>
              <w:rFonts w:ascii="Arial Unicode MS" w:cs="Arial Unicode MS" w:eastAsia="Arial Unicode MS" w:hAnsi="Arial Unicode MS"/>
              <w:sz w:val="22"/>
              <w:szCs w:val="22"/>
              <w:rtl w:val="0"/>
            </w:rPr>
            <w:t xml:space="preserve">Models fail to state the GI–ID dependency. Marking GI as urgent or requesting immediate colonoscopy without acknowledging that TB must be cleared first creates a clinical conflict. The infliximab restart sequence (TB cleared → LFTs normalized → colonoscopy completed) means the GI consultation is downstream of ID by design.</w:t>
          </w:r>
        </w:sdtContent>
      </w:sdt>
    </w:p>
    <w:p w:rsidR="00000000" w:rsidDel="00000000" w:rsidP="00000000" w:rsidRDefault="00000000" w:rsidRPr="00000000" w14:paraId="00000011">
      <w:pPr>
        <w:spacing w:after="40" w:before="40" w:lineRule="auto"/>
        <w:rPr>
          <w:sz w:val="22"/>
          <w:szCs w:val="22"/>
        </w:rPr>
      </w:pPr>
      <w:r w:rsidDel="00000000" w:rsidR="00000000" w:rsidRPr="00000000">
        <w:rPr>
          <w:sz w:val="22"/>
          <w:szCs w:val="22"/>
          <w:rtl w:val="0"/>
        </w:rPr>
        <w:t xml:space="preserve">Models over-pathologize the brain MRI findings. Describing NF1 UBOs as alarming lesions, marking the referral as urgent, or recommending neurosurgical evaluation demonstrates a failure to recognize expected findings in a confirmed NF1 patient. The actual concern — absent optic pathway sequences — should drive the repeat imaging request.</w:t>
      </w:r>
    </w:p>
    <w:p w:rsidR="00000000" w:rsidDel="00000000" w:rsidP="00000000" w:rsidRDefault="00000000" w:rsidRPr="00000000" w14:paraId="00000012">
      <w:pPr>
        <w:pBdr>
          <w:bottom w:color="000000" w:space="2" w:sz="4" w:val="single"/>
        </w:pBdr>
        <w:spacing w:after="60" w:before="200" w:lineRule="auto"/>
        <w:rPr>
          <w:sz w:val="22"/>
          <w:szCs w:val="22"/>
        </w:rPr>
      </w:pPr>
      <w:r w:rsidDel="00000000" w:rsidR="00000000" w:rsidRPr="00000000">
        <w:rPr>
          <w:b w:val="1"/>
          <w:bCs w:val="1"/>
          <w:sz w:val="24"/>
          <w:szCs w:val="24"/>
          <w:rtl w:val="0"/>
        </w:rPr>
        <w:t xml:space="preserve">SCORING</w:t>
      </w:r>
      <w:r w:rsidDel="00000000" w:rsidR="00000000" w:rsidRPr="00000000">
        <w:rPr>
          <w:rtl w:val="0"/>
        </w:rPr>
      </w:r>
    </w:p>
    <w:p w:rsidR="00000000" w:rsidDel="00000000" w:rsidP="00000000" w:rsidRDefault="00000000" w:rsidRPr="00000000" w14:paraId="00000013">
      <w:pPr>
        <w:spacing w:after="40" w:before="40" w:lineRule="auto"/>
        <w:rPr>
          <w:sz w:val="22"/>
          <w:szCs w:val="22"/>
        </w:rPr>
      </w:pPr>
      <w:r w:rsidDel="00000000" w:rsidR="00000000" w:rsidRPr="00000000">
        <w:rPr>
          <w:sz w:val="22"/>
          <w:szCs w:val="22"/>
          <w:rtl w:val="0"/>
        </w:rPr>
        <w:t xml:space="preserve">Provide a single score between 0–1 with reasoning. Format: &lt;reasoning&gt;...&lt;/reasoning&gt;&lt;score&gt;...&lt;/score&gt;</w:t>
      </w:r>
    </w:p>
    <w:p w:rsidR="00000000" w:rsidDel="00000000" w:rsidP="00000000" w:rsidRDefault="00000000" w:rsidRPr="00000000" w14:paraId="00000014">
      <w:pPr>
        <w:spacing w:after="80" w:before="80" w:lineRule="auto"/>
        <w:rPr>
          <w:b w:val="1"/>
          <w:bCs w:val="1"/>
          <w:color w:val="1f4e79"/>
          <w:sz w:val="24"/>
          <w:szCs w:val="24"/>
        </w:rPr>
      </w:pPr>
      <w:r w:rsidDel="00000000" w:rsidR="00000000" w:rsidRPr="00000000">
        <w:rPr>
          <w:rtl w:val="0"/>
        </w:rPr>
      </w:r>
    </w:p>
    <w:p w:rsidR="00000000" w:rsidDel="00000000" w:rsidP="00000000" w:rsidRDefault="00000000" w:rsidRPr="00000000" w14:paraId="00000015">
      <w:pPr>
        <w:spacing w:after="40" w:before="40" w:lineRule="auto"/>
        <w:rPr>
          <w:b w:val="1"/>
          <w:bCs w:val="1"/>
          <w:sz w:val="26"/>
          <w:szCs w:val="26"/>
        </w:rPr>
      </w:pPr>
      <w:r w:rsidDel="00000000" w:rsidR="00000000" w:rsidRPr="00000000">
        <w:rPr>
          <w:rtl w:val="0"/>
        </w:rPr>
      </w:r>
    </w:p>
    <w:p w:rsidR="00000000" w:rsidDel="00000000" w:rsidP="00000000" w:rsidRDefault="00000000" w:rsidRPr="00000000" w14:paraId="00000016">
      <w:pPr>
        <w:spacing w:after="80" w:before="80" w:lineRule="auto"/>
        <w:rPr>
          <w:b w:val="1"/>
          <w:bCs w:val="1"/>
          <w:color w:val="1f4e79"/>
          <w:sz w:val="24"/>
          <w:szCs w:val="24"/>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ULy77CebfpI2yzdw+ZMrgHPkaQ==">CgMxLjAaHQoBMBIYChYIB0ISEhBBcmlhbCBVbmljb2RlIE1TGh0KATESGAoWCAdCEhIQQXJpYWwgVW5pY29kZSBNUzgAciExNW9CYWo0dGNfTi1GMDRJYnRQanI3Q1NENzBnVE9qWno=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