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40" w:lineRule="auto"/>
        <w:rPr>
          <w:sz w:val="22"/>
          <w:szCs w:val="22"/>
        </w:rPr>
      </w:pPr>
      <w:r w:rsidDel="00000000" w:rsidR="00000000" w:rsidRPr="00000000">
        <w:rPr>
          <w:b w:val="1"/>
          <w:bCs w:val="1"/>
          <w:sz w:val="26"/>
          <w:szCs w:val="26"/>
          <w:rtl w:val="0"/>
        </w:rPr>
        <w:t xml:space="preserve">GRADER GUIDELINES — TASK 4: URGENT CARE SOAP NOTE</w:t>
      </w:r>
      <w:r w:rsidDel="00000000" w:rsidR="00000000" w:rsidRPr="00000000">
        <w:rPr>
          <w:rtl w:val="0"/>
        </w:rPr>
      </w:r>
    </w:p>
    <w:p w:rsidR="00000000" w:rsidDel="00000000" w:rsidP="00000000" w:rsidRDefault="00000000" w:rsidRPr="00000000" w14:paraId="00000002">
      <w:pPr>
        <w:spacing w:after="120" w:before="40" w:lineRule="auto"/>
        <w:rPr>
          <w:sz w:val="22"/>
          <w:szCs w:val="22"/>
        </w:rPr>
      </w:pPr>
      <w:r w:rsidDel="00000000" w:rsidR="00000000" w:rsidRPr="00000000">
        <w:rPr>
          <w:sz w:val="20"/>
          <w:szCs w:val="20"/>
          <w:rtl w:val="0"/>
        </w:rPr>
        <w:t xml:space="preserve">Marcus D. Whitfield  |  PED-2025-04471  |  10-year-old male</w:t>
      </w:r>
      <w:r w:rsidDel="00000000" w:rsidR="00000000" w:rsidRPr="00000000">
        <w:rPr>
          <w:rtl w:val="0"/>
        </w:rPr>
      </w:r>
    </w:p>
    <w:p w:rsidR="00000000" w:rsidDel="00000000" w:rsidP="00000000" w:rsidRDefault="00000000" w:rsidRPr="00000000" w14:paraId="00000003">
      <w:pPr>
        <w:spacing w:after="40" w:before="40" w:lineRule="auto"/>
        <w:rPr>
          <w:sz w:val="22"/>
          <w:szCs w:val="22"/>
        </w:rPr>
      </w:pPr>
      <w:r w:rsidDel="00000000" w:rsidR="00000000" w:rsidRPr="00000000">
        <w:rPr>
          <w:sz w:val="22"/>
          <w:szCs w:val="22"/>
          <w:rtl w:val="0"/>
        </w:rPr>
        <w:t xml:space="preserve">You are reviewing an urgent care SOAP note for Marcus Whitfield, a 10-year-old male in foster care presenting with shortness of breath three weeks after an initial intake visit. The urgent care clinician has never seen this child before and has access to the full EMR. The foster parent, Ms. Carter, is the historian and has brought a hospital discharge medication list containing three known errors. The prompt provided vitals and exam findings and asked for a complete SOAP note with disposition decision.</w:t>
      </w:r>
    </w:p>
    <w:p w:rsidR="00000000" w:rsidDel="00000000" w:rsidP="00000000" w:rsidRDefault="00000000" w:rsidRPr="00000000" w14:paraId="00000004">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GOLDEN REFERENCE</w:t>
      </w:r>
      <w:r w:rsidDel="00000000" w:rsidR="00000000" w:rsidRPr="00000000">
        <w:rPr>
          <w:rtl w:val="0"/>
        </w:rPr>
      </w:r>
    </w:p>
    <w:p w:rsidR="00000000" w:rsidDel="00000000" w:rsidP="00000000" w:rsidRDefault="00000000" w:rsidRPr="00000000" w14:paraId="00000005">
      <w:pPr>
        <w:spacing w:after="40" w:before="40" w:lineRule="auto"/>
        <w:rPr>
          <w:sz w:val="22"/>
          <w:szCs w:val="22"/>
        </w:rPr>
      </w:pPr>
      <w:r w:rsidDel="00000000" w:rsidR="00000000" w:rsidRPr="00000000">
        <w:rPr>
          <w:sz w:val="22"/>
          <w:szCs w:val="22"/>
          <w:rtl w:val="0"/>
        </w:rPr>
        <w:t xml:space="preserve">Open World_003_T4_Golden_Response.docx before grading.</w:t>
      </w:r>
    </w:p>
    <w:p w:rsidR="00000000" w:rsidDel="00000000" w:rsidP="00000000" w:rsidRDefault="00000000" w:rsidRPr="00000000" w14:paraId="00000006">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A) CLINICAL ACCURACY — MUST BE PRESENT AND CORRECT</w:t>
      </w:r>
      <w:r w:rsidDel="00000000" w:rsidR="00000000" w:rsidRPr="00000000">
        <w:rPr>
          <w:rtl w:val="0"/>
        </w:rPr>
      </w:r>
    </w:p>
    <w:p w:rsidR="00000000" w:rsidDel="00000000" w:rsidP="00000000" w:rsidRDefault="00000000" w:rsidRPr="00000000" w14:paraId="00000007">
      <w:pPr>
        <w:spacing w:after="40" w:before="40" w:lineRule="auto"/>
        <w:rPr>
          <w:sz w:val="22"/>
          <w:szCs w:val="22"/>
        </w:rPr>
      </w:pPr>
      <w:r w:rsidDel="00000000" w:rsidR="00000000" w:rsidRPr="00000000">
        <w:rPr>
          <w:sz w:val="22"/>
          <w:szCs w:val="22"/>
          <w:rtl w:val="0"/>
        </w:rPr>
        <w:t xml:space="preserve">The disposition decision is the single most important element. The correct disposition is ED transfer. Three factors independently mandate transfer: the four-intubation history (most recent approximately 6 weeks ago), the unresolved TB workup (indeterminate IGRA plus RUL infiltrate dismissed as atypical pneumonia), and partial albuterol response with SpO2 93% in a child whose severity profile exceeds urgent care capability. A model that reaches the correct disposition for any of these reasons is meeting the standard.</w:t>
      </w:r>
    </w:p>
    <w:p w:rsidR="00000000" w:rsidDel="00000000" w:rsidP="00000000" w:rsidRDefault="00000000" w:rsidRPr="00000000" w14:paraId="00000008">
      <w:pPr>
        <w:spacing w:after="40" w:before="40" w:lineRule="auto"/>
        <w:rPr>
          <w:sz w:val="22"/>
          <w:szCs w:val="22"/>
        </w:rPr>
      </w:pPr>
      <w:r w:rsidDel="00000000" w:rsidR="00000000" w:rsidRPr="00000000">
        <w:rPr>
          <w:sz w:val="22"/>
          <w:szCs w:val="22"/>
          <w:rtl w:val="0"/>
        </w:rPr>
        <w:t xml:space="preserve">The medication list must be reconciled against the chart, not copied from the discharge paper Ms. Carter handed over. The discharge summary contains a reconciliation error: risperidone at 1 mg (correct: 1.5 mg per pharmacy records and psychiatry note). This is the chart-verifiable discrepancy the model must catch. Montelukast (FDA boxed warning) and ferrous sulfate (IV iron preferred in active IBD) are clinical judgment calls — no document in the chart records a decision to stop either medication. Independently identifying the FDA boxed warning for montelukast and flagging the oral-vs-IV iron question for ferrous sulfate are strong clinical reasoning but not reconciliation errors. The subjective history must be attributed to Ms. Carter, not to the patient — Marcus has ASD Level 2 with communication limitations.</w:t>
      </w:r>
    </w:p>
    <w:p w:rsidR="00000000" w:rsidDel="00000000" w:rsidP="00000000" w:rsidRDefault="00000000" w:rsidRPr="00000000" w14:paraId="00000009">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B) SCOPE AND FORMAT</w:t>
      </w:r>
      <w:r w:rsidDel="00000000" w:rsidR="00000000" w:rsidRPr="00000000">
        <w:rPr>
          <w:rtl w:val="0"/>
        </w:rPr>
      </w:r>
    </w:p>
    <w:p w:rsidR="00000000" w:rsidDel="00000000" w:rsidP="00000000" w:rsidRDefault="00000000" w:rsidRPr="00000000" w14:paraId="0000000A">
      <w:pPr>
        <w:spacing w:after="40" w:before="40" w:lineRule="auto"/>
        <w:rPr>
          <w:sz w:val="22"/>
          <w:szCs w:val="22"/>
        </w:rPr>
      </w:pPr>
      <w:r w:rsidDel="00000000" w:rsidR="00000000" w:rsidRPr="00000000">
        <w:rPr>
          <w:sz w:val="22"/>
          <w:szCs w:val="22"/>
          <w:rtl w:val="0"/>
        </w:rPr>
        <w:t xml:space="preserve">The output should be a recognizable SOAP note with subjective, objective, assessment, and plan sections. The plan must include a disposition decision with explicit rationale. Penalize meaningfully for: omitting the disposition decision entirely; an assessment that says ‘asthma exacerbation’ without connecting to the broader clinical context; missing major SOAP sections. Do not penalize structural variation — section ordering, header labels, and narrative style differ across institutions.</w:t>
      </w:r>
    </w:p>
    <w:p w:rsidR="00000000" w:rsidDel="00000000" w:rsidP="00000000" w:rsidRDefault="00000000" w:rsidRPr="00000000" w14:paraId="0000000B">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C) GOOD PRACTICE — SHOWN IN GOLDEN ANSWER, NOT REQUIRED</w:t>
      </w:r>
      <w:r w:rsidDel="00000000" w:rsidR="00000000" w:rsidRPr="00000000">
        <w:rPr>
          <w:rtl w:val="0"/>
        </w:rPr>
      </w:r>
    </w:p>
    <w:p w:rsidR="00000000" w:rsidDel="00000000" w:rsidP="00000000" w:rsidRDefault="00000000" w:rsidRPr="00000000" w14:paraId="0000000C">
      <w:pPr>
        <w:spacing w:after="40" w:before="40" w:lineRule="auto"/>
        <w:rPr>
          <w:sz w:val="22"/>
          <w:szCs w:val="22"/>
        </w:rPr>
      </w:pPr>
      <w:r w:rsidDel="00000000" w:rsidR="00000000" w:rsidRPr="00000000">
        <w:rPr>
          <w:sz w:val="22"/>
          <w:szCs w:val="22"/>
          <w:rtl w:val="0"/>
        </w:rPr>
        <w:t xml:space="preserve">Noting the completed steroid/antibiotic courses and that the patient is steroid-naïve for this exacerbation. Flagging the baseline BP as low (~88/54) from risperidone/clonidine to prevent the receiving ED from misinterpreting it as shock. Referencing the prior CXR and stating that new RUL findings cannot be re-attributed to asthma. Specifying that the reconciled medication list (not the discharge summary) should be sent to the ED.</w:t>
      </w:r>
    </w:p>
    <w:p w:rsidR="00000000" w:rsidDel="00000000" w:rsidP="00000000" w:rsidRDefault="00000000" w:rsidRPr="00000000" w14:paraId="0000000D">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D) KNOWN ERRORS — PENALIZE FOR</w:t>
      </w:r>
      <w:r w:rsidDel="00000000" w:rsidR="00000000" w:rsidRPr="00000000">
        <w:rPr>
          <w:rtl w:val="0"/>
        </w:rPr>
      </w:r>
    </w:p>
    <w:p w:rsidR="00000000" w:rsidDel="00000000" w:rsidP="00000000" w:rsidRDefault="00000000" w:rsidRPr="00000000" w14:paraId="0000000E">
      <w:pPr>
        <w:spacing w:after="40" w:before="40" w:lineRule="auto"/>
        <w:rPr>
          <w:sz w:val="22"/>
          <w:szCs w:val="22"/>
        </w:rPr>
      </w:pPr>
      <w:r w:rsidDel="00000000" w:rsidR="00000000" w:rsidRPr="00000000">
        <w:rPr>
          <w:sz w:val="22"/>
          <w:szCs w:val="22"/>
          <w:rtl w:val="0"/>
        </w:rPr>
        <w:t xml:space="preserve">Models discharge from urgent care. The clinical picture — speaking in full sentences, partial albuterol relief — appears manageable on the surface. A model that recommends discharge with a nebulizer, oral steroids, and PCP follow-up has produced a routine asthma plan for a child with four intubations and an active TB workup.</w:t>
      </w:r>
    </w:p>
    <w:p w:rsidR="00000000" w:rsidDel="00000000" w:rsidP="00000000" w:rsidRDefault="00000000" w:rsidRPr="00000000" w14:paraId="0000000F">
      <w:pPr>
        <w:spacing w:after="40" w:before="40" w:lineRule="auto"/>
        <w:rPr>
          <w:sz w:val="22"/>
          <w:szCs w:val="22"/>
        </w:rPr>
      </w:pPr>
      <w:r w:rsidDel="00000000" w:rsidR="00000000" w:rsidRPr="00000000">
        <w:rPr>
          <w:sz w:val="22"/>
          <w:szCs w:val="22"/>
          <w:rtl w:val="0"/>
        </w:rPr>
        <w:t xml:space="preserve">Models re-attribute the CXR findings to asthma. The prior radiology report explicitly listed TB in the differential. A model that documents ‘consistent with prior asthma changes’ has made the same attribution error the hospital team made. A model may either defer imaging to the ED or order a CXR and flag the RUL infiltrate for TB rule-out — either is acceptable. Re-attributing to asthma is the failure.</w:t>
      </w:r>
    </w:p>
    <w:p w:rsidR="00000000" w:rsidDel="00000000" w:rsidP="00000000" w:rsidRDefault="00000000" w:rsidRPr="00000000" w14:paraId="00000010">
      <w:pPr>
        <w:spacing w:after="40" w:before="40" w:lineRule="auto"/>
        <w:rPr>
          <w:sz w:val="22"/>
          <w:szCs w:val="22"/>
        </w:rPr>
      </w:pPr>
      <w:r w:rsidDel="00000000" w:rsidR="00000000" w:rsidRPr="00000000">
        <w:rPr>
          <w:sz w:val="22"/>
          <w:szCs w:val="22"/>
          <w:rtl w:val="0"/>
        </w:rPr>
        <w:t xml:space="preserve">Models copy the discharge medication list without reconciliation. The chart is available. A model that lists risperidone 1 mg from Ms. Carter’s paper without cross-referencing the chart has treated a caregiver-provided document as authoritative over pharmacy records. The risperidone dose is the chart-verifiable reconciliation failure.</w:t>
      </w:r>
    </w:p>
    <w:p w:rsidR="00000000" w:rsidDel="00000000" w:rsidP="00000000" w:rsidRDefault="00000000" w:rsidRPr="00000000" w14:paraId="00000011">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SCORING</w:t>
      </w:r>
      <w:r w:rsidDel="00000000" w:rsidR="00000000" w:rsidRPr="00000000">
        <w:rPr>
          <w:rtl w:val="0"/>
        </w:rPr>
      </w:r>
    </w:p>
    <w:p w:rsidR="00000000" w:rsidDel="00000000" w:rsidP="00000000" w:rsidRDefault="00000000" w:rsidRPr="00000000" w14:paraId="00000012">
      <w:pPr>
        <w:spacing w:after="40" w:before="40" w:lineRule="auto"/>
        <w:rPr>
          <w:sz w:val="22"/>
          <w:szCs w:val="22"/>
        </w:rPr>
      </w:pPr>
      <w:r w:rsidDel="00000000" w:rsidR="00000000" w:rsidRPr="00000000">
        <w:rPr>
          <w:sz w:val="22"/>
          <w:szCs w:val="22"/>
          <w:rtl w:val="0"/>
        </w:rPr>
        <w:t xml:space="preserve">Provide a single score between 0–1 with reasoning. Format: &lt;reasoning&gt;...&lt;/reasoning&gt;&lt;score&gt;...&lt;/score&gt;</w:t>
      </w:r>
    </w:p>
    <w:p w:rsidR="00000000" w:rsidDel="00000000" w:rsidP="00000000" w:rsidRDefault="00000000" w:rsidRPr="00000000" w14:paraId="00000013">
      <w:pPr>
        <w:spacing w:after="40" w:before="40" w:lineRule="auto"/>
        <w:rPr>
          <w:b w:val="1"/>
          <w:bCs w:val="1"/>
          <w:sz w:val="22"/>
          <w:szCs w:val="22"/>
        </w:rPr>
      </w:pPr>
      <w:r w:rsidDel="00000000" w:rsidR="00000000" w:rsidRPr="00000000">
        <w:rPr>
          <w:rtl w:val="0"/>
        </w:rPr>
      </w:r>
    </w:p>
    <w:p w:rsidR="00000000" w:rsidDel="00000000" w:rsidP="00000000" w:rsidRDefault="00000000" w:rsidRPr="00000000" w14:paraId="00000014">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5">
      <w:pPr>
        <w:spacing w:after="40" w:before="40" w:lineRule="auto"/>
        <w:rPr>
          <w:b w:val="1"/>
          <w:bCs w:val="1"/>
          <w:sz w:val="22"/>
          <w:szCs w:val="22"/>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8kKzQ/8qFQQf/u3DuGGDcw5/xg==">CgMxLjA4AHIhMUhpY0Mya2ZiTlBoX2xFM083V2tHeXpsZXpwZVhzNHNw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