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Patient Risk Stratification — Marcus D. Whitfield</w:t>
      </w:r>
      <w:r w:rsidDel="00000000" w:rsidR="00000000" w:rsidRPr="00000000">
        <w:rPr>
          <w:rtl w:val="0"/>
        </w:rPr>
      </w:r>
    </w:p>
    <w:p w:rsidR="00000000" w:rsidDel="00000000" w:rsidP="00000000" w:rsidRDefault="00000000" w:rsidRPr="00000000" w14:paraId="00000002">
      <w:pPr>
        <w:spacing w:after="80" w:before="40" w:lineRule="auto"/>
        <w:rPr>
          <w:sz w:val="22"/>
          <w:szCs w:val="22"/>
        </w:rPr>
      </w:pPr>
      <w:r w:rsidDel="00000000" w:rsidR="00000000" w:rsidRPr="00000000">
        <w:rPr>
          <w:sz w:val="20"/>
          <w:szCs w:val="20"/>
          <w:rtl w:val="0"/>
        </w:rPr>
        <w:t xml:space="preserve">PED-2025-04471  |  10-year-old male  |  Medicaid — DCFS Foster Care  |  Date: 03/18/2026</w:t>
      </w:r>
      <w:r w:rsidDel="00000000" w:rsidR="00000000" w:rsidRPr="00000000">
        <w:rPr>
          <w:rtl w:val="0"/>
        </w:rPr>
      </w:r>
    </w:p>
    <w:p w:rsidR="00000000" w:rsidDel="00000000" w:rsidP="00000000" w:rsidRDefault="00000000" w:rsidRPr="00000000" w14:paraId="00000003">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Risk Tier Assignment</w:t>
      </w:r>
      <w:r w:rsidDel="00000000" w:rsidR="00000000" w:rsidRPr="00000000">
        <w:rPr>
          <w:rtl w:val="0"/>
        </w:rPr>
      </w:r>
    </w:p>
    <w:p w:rsidR="00000000" w:rsidDel="00000000" w:rsidP="00000000" w:rsidRDefault="00000000" w:rsidRPr="00000000" w14:paraId="00000004">
      <w:pPr>
        <w:spacing w:after="40" w:before="40" w:lineRule="auto"/>
        <w:rPr>
          <w:sz w:val="22"/>
          <w:szCs w:val="22"/>
        </w:rPr>
      </w:pPr>
      <w:r w:rsidDel="00000000" w:rsidR="00000000" w:rsidRPr="00000000">
        <w:rPr>
          <w:b w:val="1"/>
          <w:bCs w:val="1"/>
          <w:sz w:val="22"/>
          <w:szCs w:val="22"/>
          <w:rtl w:val="0"/>
        </w:rPr>
        <w:t xml:space="preserve">Tier: </w:t>
      </w:r>
      <w:r w:rsidDel="00000000" w:rsidR="00000000" w:rsidRPr="00000000">
        <w:rPr>
          <w:sz w:val="22"/>
          <w:szCs w:val="22"/>
          <w:rtl w:val="0"/>
        </w:rPr>
        <w:t xml:space="preserve">3 — Complex / Catastrophic</w:t>
      </w:r>
    </w:p>
    <w:p w:rsidR="00000000" w:rsidDel="00000000" w:rsidP="00000000" w:rsidRDefault="00000000" w:rsidRPr="00000000" w14:paraId="00000005">
      <w:pPr>
        <w:spacing w:after="40" w:before="40" w:lineRule="auto"/>
        <w:rPr>
          <w:sz w:val="22"/>
          <w:szCs w:val="22"/>
        </w:rPr>
      </w:pPr>
      <w:sdt>
        <w:sdtPr>
          <w:id w:val="262446617"/>
          <w:tag w:val="goog_rdk_0"/>
        </w:sdtPr>
        <w:sdtContent>
          <w:r w:rsidDel="00000000" w:rsidR="00000000" w:rsidRPr="00000000">
            <w:rPr>
              <w:rFonts w:ascii="Arial Unicode MS" w:cs="Arial Unicode MS" w:eastAsia="Arial Unicode MS" w:hAnsi="Arial Unicode MS"/>
              <w:sz w:val="22"/>
              <w:szCs w:val="22"/>
              <w:rtl w:val="0"/>
            </w:rPr>
            <w:t xml:space="preserve">Despite a recent hospitalization with 4th lifetime intubation (discharged 03/02/2026, just 16 days prior), utilization-based models may interpret the post-discharge period as stabilization. The clinical trajectory overrides surface-level utilization patterns. Three independent factors each individually justify Tier 3: (1) active TB workup in a child with prior immunosuppressant exposure (indeterminate IGRA + unresolved RUL infiltrate + three-source exposure history), (2) uncontrolled IBD without bridge therapy for 2 months (infliximab held, no alternative initiated), (3) rising blood lead levels across three timepoints (12 → 18 → 21 µg/dL) with ongoing exposure source. The post-discharge period reflects a care transition vacuum — new foster placement, no PCP, fragmented records — not clinical stabilization.</w:t>
          </w:r>
        </w:sdtContent>
      </w:sdt>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HCC Categories — Confirmed Diagnoses Only (HHS-HCC Concurrent Model)</w:t>
      </w:r>
      <w:r w:rsidDel="00000000" w:rsidR="00000000" w:rsidRPr="00000000">
        <w:rPr>
          <w:rtl w:val="0"/>
        </w:rPr>
      </w:r>
    </w:p>
    <w:tbl>
      <w:tblPr>
        <w:tblStyle w:val="Table1"/>
        <w:tblW w:w="10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805"/>
        <w:gridCol w:w="1200"/>
        <w:gridCol w:w="4230"/>
        <w:tblGridChange w:id="0">
          <w:tblGrid>
            <w:gridCol w:w="1995"/>
            <w:gridCol w:w="2805"/>
            <w:gridCol w:w="1200"/>
            <w:gridCol w:w="4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7">
            <w:pPr>
              <w:rPr>
                <w:sz w:val="22"/>
                <w:szCs w:val="22"/>
              </w:rPr>
            </w:pPr>
            <w:r w:rsidDel="00000000" w:rsidR="00000000" w:rsidRPr="00000000">
              <w:rPr>
                <w:b w:val="1"/>
                <w:bCs w:val="1"/>
                <w:sz w:val="22"/>
                <w:szCs w:val="22"/>
                <w:rtl w:val="0"/>
              </w:rPr>
              <w:t xml:space="preserve">Diagnosis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HCC /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9">
            <w:pPr>
              <w:rPr>
                <w:sz w:val="22"/>
                <w:szCs w:val="22"/>
              </w:rPr>
            </w:pPr>
            <w:r w:rsidDel="00000000" w:rsidR="00000000" w:rsidRPr="00000000">
              <w:rPr>
                <w:b w:val="1"/>
                <w:bCs w:val="1"/>
                <w:sz w:val="22"/>
                <w:szCs w:val="22"/>
                <w:rtl w:val="0"/>
              </w:rPr>
              <w:t xml:space="preserve">RAF Eligible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A">
            <w:pPr>
              <w:rPr>
                <w:sz w:val="22"/>
                <w:szCs w:val="22"/>
              </w:rPr>
            </w:pPr>
            <w:r w:rsidDel="00000000" w:rsidR="00000000" w:rsidRPr="00000000">
              <w:rPr>
                <w:b w:val="1"/>
                <w:bCs w:val="1"/>
                <w:sz w:val="22"/>
                <w:szCs w:val="22"/>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B">
            <w:pPr>
              <w:rPr>
                <w:sz w:val="22"/>
                <w:szCs w:val="22"/>
              </w:rPr>
            </w:pPr>
            <w:r w:rsidDel="00000000" w:rsidR="00000000" w:rsidRPr="00000000">
              <w:rPr>
                <w:sz w:val="22"/>
                <w:szCs w:val="22"/>
                <w:rtl w:val="0"/>
              </w:rPr>
              <w:t xml:space="preserve">ASD Level 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C">
            <w:pPr>
              <w:rPr>
                <w:sz w:val="22"/>
                <w:szCs w:val="22"/>
              </w:rPr>
            </w:pPr>
            <w:r w:rsidDel="00000000" w:rsidR="00000000" w:rsidRPr="00000000">
              <w:rPr>
                <w:sz w:val="22"/>
                <w:szCs w:val="22"/>
                <w:rtl w:val="0"/>
              </w:rPr>
              <w:t xml:space="preserve">HCC 102 (ASD)</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D">
            <w:pPr>
              <w:rPr>
                <w:sz w:val="22"/>
                <w:szCs w:val="22"/>
              </w:rPr>
            </w:pPr>
            <w:r w:rsidDel="00000000" w:rsidR="00000000" w:rsidRPr="00000000">
              <w:rPr>
                <w:sz w:val="22"/>
                <w:szCs w:val="22"/>
                <w:rtl w:val="0"/>
              </w:rPr>
              <w:t xml:space="preserve">Yes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E">
            <w:pPr>
              <w:rPr>
                <w:sz w:val="22"/>
                <w:szCs w:val="22"/>
              </w:rPr>
            </w:pPr>
            <w:r w:rsidDel="00000000" w:rsidR="00000000" w:rsidRPr="00000000">
              <w:rPr>
                <w:sz w:val="22"/>
                <w:szCs w:val="22"/>
                <w:rtl w:val="0"/>
              </w:rPr>
              <w:t xml:space="preserve">Confirmed. Documented by psychiatry and dev peds.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F">
            <w:pPr>
              <w:rPr>
                <w:sz w:val="22"/>
                <w:szCs w:val="22"/>
              </w:rPr>
            </w:pPr>
            <w:r w:rsidDel="00000000" w:rsidR="00000000" w:rsidRPr="00000000">
              <w:rPr>
                <w:sz w:val="22"/>
                <w:szCs w:val="22"/>
                <w:rtl w:val="0"/>
              </w:rPr>
              <w:t xml:space="preserve">ADHD Combined Type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0">
            <w:pPr>
              <w:rPr>
                <w:sz w:val="22"/>
                <w:szCs w:val="22"/>
              </w:rPr>
            </w:pPr>
            <w:r w:rsidDel="00000000" w:rsidR="00000000" w:rsidRPr="00000000">
              <w:rPr>
                <w:sz w:val="22"/>
                <w:szCs w:val="22"/>
                <w:rtl w:val="0"/>
              </w:rPr>
              <w:t xml:space="preserve">No HCC</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1">
            <w:pP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2">
            <w:pPr>
              <w:rPr>
                <w:sz w:val="22"/>
                <w:szCs w:val="22"/>
              </w:rPr>
            </w:pPr>
            <w:r w:rsidDel="00000000" w:rsidR="00000000" w:rsidRPr="00000000">
              <w:rPr>
                <w:sz w:val="22"/>
                <w:szCs w:val="22"/>
                <w:rtl w:val="0"/>
              </w:rPr>
              <w:t xml:space="preserve">Does not map to an HCC category.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3">
            <w:pPr>
              <w:rPr>
                <w:sz w:val="22"/>
                <w:szCs w:val="22"/>
              </w:rPr>
            </w:pPr>
            <w:r w:rsidDel="00000000" w:rsidR="00000000" w:rsidRPr="00000000">
              <w:rPr>
                <w:sz w:val="22"/>
                <w:szCs w:val="22"/>
                <w:rtl w:val="0"/>
              </w:rPr>
              <w:t xml:space="preserve">PTSD</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4">
            <w:pPr>
              <w:rPr>
                <w:sz w:val="22"/>
                <w:szCs w:val="22"/>
              </w:rPr>
            </w:pPr>
            <w:r w:rsidDel="00000000" w:rsidR="00000000" w:rsidRPr="00000000">
              <w:rPr>
                <w:sz w:val="22"/>
                <w:szCs w:val="22"/>
                <w:rtl w:val="0"/>
              </w:rPr>
              <w:t xml:space="preserve">HCC 155 (model-dependent)</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5">
            <w:pPr>
              <w:rPr>
                <w:sz w:val="22"/>
                <w:szCs w:val="22"/>
              </w:rPr>
            </w:pPr>
            <w:r w:rsidDel="00000000" w:rsidR="00000000" w:rsidRPr="00000000">
              <w:rPr>
                <w:sz w:val="22"/>
                <w:szCs w:val="22"/>
                <w:rtl w:val="0"/>
              </w:rPr>
              <w:t xml:space="preserve">Yes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6">
            <w:pPr>
              <w:rPr>
                <w:sz w:val="22"/>
                <w:szCs w:val="22"/>
              </w:rPr>
            </w:pPr>
            <w:r w:rsidDel="00000000" w:rsidR="00000000" w:rsidRPr="00000000">
              <w:rPr>
                <w:sz w:val="22"/>
                <w:szCs w:val="22"/>
                <w:rtl w:val="0"/>
              </w:rPr>
              <w:t xml:space="preserve">Confirmed. Documented by psychiatry.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7">
            <w:pPr>
              <w:rPr>
                <w:sz w:val="22"/>
                <w:szCs w:val="22"/>
              </w:rPr>
            </w:pPr>
            <w:r w:rsidDel="00000000" w:rsidR="00000000" w:rsidRPr="00000000">
              <w:rPr>
                <w:sz w:val="22"/>
                <w:szCs w:val="22"/>
                <w:rtl w:val="0"/>
              </w:rPr>
              <w:t xml:space="preserve">FASD</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8">
            <w:pPr>
              <w:rPr>
                <w:sz w:val="22"/>
                <w:szCs w:val="22"/>
              </w:rPr>
            </w:pPr>
            <w:r w:rsidDel="00000000" w:rsidR="00000000" w:rsidRPr="00000000">
              <w:rPr>
                <w:sz w:val="22"/>
                <w:szCs w:val="22"/>
                <w:rtl w:val="0"/>
              </w:rPr>
              <w:t xml:space="preserve">HCC 102 (developmental)</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9">
            <w:pP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A">
            <w:pPr>
              <w:rPr>
                <w:sz w:val="22"/>
                <w:szCs w:val="22"/>
              </w:rPr>
            </w:pPr>
            <w:r w:rsidDel="00000000" w:rsidR="00000000" w:rsidRPr="00000000">
              <w:rPr>
                <w:sz w:val="22"/>
                <w:szCs w:val="22"/>
                <w:rtl w:val="0"/>
              </w:rPr>
              <w:t xml:space="preserve">May be captured under ASD; avoid double-counting.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B">
            <w:pPr>
              <w:rPr>
                <w:sz w:val="22"/>
                <w:szCs w:val="22"/>
              </w:rPr>
            </w:pPr>
            <w:r w:rsidDel="00000000" w:rsidR="00000000" w:rsidRPr="00000000">
              <w:rPr>
                <w:sz w:val="22"/>
                <w:szCs w:val="22"/>
                <w:rtl w:val="0"/>
              </w:rPr>
              <w:t xml:space="preserve">Asthma (severe)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C">
            <w:pPr>
              <w:rPr>
                <w:sz w:val="22"/>
                <w:szCs w:val="22"/>
              </w:rPr>
            </w:pPr>
            <w:r w:rsidDel="00000000" w:rsidR="00000000" w:rsidRPr="00000000">
              <w:rPr>
                <w:sz w:val="22"/>
                <w:szCs w:val="22"/>
                <w:rtl w:val="0"/>
              </w:rPr>
              <w:t xml:space="preserve">HCC 161 (Asthma)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D">
            <w:pPr>
              <w:rPr>
                <w:sz w:val="22"/>
                <w:szCs w:val="22"/>
              </w:rPr>
            </w:pPr>
            <w:r w:rsidDel="00000000" w:rsidR="00000000" w:rsidRPr="00000000">
              <w:rPr>
                <w:sz w:val="22"/>
                <w:szCs w:val="22"/>
                <w:rtl w:val="0"/>
              </w:rPr>
              <w:t xml:space="preserve">Yes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E">
            <w:pPr>
              <w:rPr>
                <w:sz w:val="22"/>
                <w:szCs w:val="22"/>
              </w:rPr>
            </w:pPr>
            <w:r w:rsidDel="00000000" w:rsidR="00000000" w:rsidRPr="00000000">
              <w:rPr>
                <w:sz w:val="22"/>
                <w:szCs w:val="22"/>
                <w:rtl w:val="0"/>
              </w:rPr>
              <w:t xml:space="preserve">Confirmed. 4 intubations documented.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F">
            <w:pPr>
              <w:rPr>
                <w:sz w:val="22"/>
                <w:szCs w:val="22"/>
              </w:rPr>
            </w:pPr>
            <w:r w:rsidDel="00000000" w:rsidR="00000000" w:rsidRPr="00000000">
              <w:rPr>
                <w:sz w:val="22"/>
                <w:szCs w:val="22"/>
                <w:rtl w:val="0"/>
              </w:rPr>
              <w:t xml:space="preserve">NF1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0">
            <w:pPr>
              <w:rPr>
                <w:sz w:val="22"/>
                <w:szCs w:val="22"/>
              </w:rPr>
            </w:pPr>
            <w:r w:rsidDel="00000000" w:rsidR="00000000" w:rsidRPr="00000000">
              <w:rPr>
                <w:sz w:val="22"/>
                <w:szCs w:val="22"/>
                <w:rtl w:val="0"/>
              </w:rPr>
              <w:t xml:space="preserve">HCC (model-dependent) — Q85.01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1">
            <w:pPr>
              <w:rPr>
                <w:sz w:val="22"/>
                <w:szCs w:val="22"/>
              </w:rPr>
            </w:pPr>
            <w:r w:rsidDel="00000000" w:rsidR="00000000" w:rsidRPr="00000000">
              <w:rPr>
                <w:sz w:val="22"/>
                <w:szCs w:val="22"/>
                <w:rtl w:val="0"/>
              </w:rPr>
              <w:t xml:space="preserve">Yes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2">
            <w:pPr>
              <w:rPr>
                <w:sz w:val="22"/>
                <w:szCs w:val="22"/>
              </w:rPr>
            </w:pPr>
            <w:r w:rsidDel="00000000" w:rsidR="00000000" w:rsidRPr="00000000">
              <w:rPr>
                <w:sz w:val="22"/>
                <w:szCs w:val="22"/>
                <w:rtl w:val="0"/>
              </w:rPr>
              <w:t xml:space="preserve">Confirmed clinically + genetically.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3">
            <w:pPr>
              <w:rPr>
                <w:sz w:val="22"/>
                <w:szCs w:val="22"/>
              </w:rPr>
            </w:pPr>
            <w:r w:rsidDel="00000000" w:rsidR="00000000" w:rsidRPr="00000000">
              <w:rPr>
                <w:sz w:val="22"/>
                <w:szCs w:val="22"/>
                <w:rtl w:val="0"/>
              </w:rPr>
              <w:t xml:space="preserve">Pica / Lead elevation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4">
            <w:pPr>
              <w:rPr>
                <w:sz w:val="22"/>
                <w:szCs w:val="22"/>
              </w:rPr>
            </w:pPr>
            <w:r w:rsidDel="00000000" w:rsidR="00000000" w:rsidRPr="00000000">
              <w:rPr>
                <w:sz w:val="22"/>
                <w:szCs w:val="22"/>
                <w:rtl w:val="0"/>
              </w:rPr>
              <w:t xml:space="preserve">Lead toxicity codeable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5">
            <w:pP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6">
            <w:pPr>
              <w:rPr>
                <w:sz w:val="22"/>
                <w:szCs w:val="22"/>
              </w:rPr>
            </w:pPr>
            <w:r w:rsidDel="00000000" w:rsidR="00000000" w:rsidRPr="00000000">
              <w:rPr>
                <w:sz w:val="22"/>
                <w:szCs w:val="22"/>
                <w:rtl w:val="0"/>
              </w:rPr>
              <w:t xml:space="preserve">Lead 21 µg/dL confirmed. No standalone pica HCC.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7">
            <w:pPr>
              <w:rPr>
                <w:sz w:val="22"/>
                <w:szCs w:val="22"/>
              </w:rPr>
            </w:pPr>
            <w:r w:rsidDel="00000000" w:rsidR="00000000" w:rsidRPr="00000000">
              <w:rPr>
                <w:sz w:val="22"/>
                <w:szCs w:val="22"/>
                <w:rtl w:val="0"/>
              </w:rPr>
              <w:t xml:space="preserve">Crohn’s disease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8">
            <w:pPr>
              <w:rPr>
                <w:sz w:val="22"/>
                <w:szCs w:val="22"/>
              </w:rPr>
            </w:pPr>
            <w:r w:rsidDel="00000000" w:rsidR="00000000" w:rsidRPr="00000000">
              <w:rPr>
                <w:sz w:val="22"/>
                <w:szCs w:val="22"/>
                <w:rtl w:val="0"/>
              </w:rPr>
              <w:t xml:space="preserve">DO NOT ASSIGN HCC 35</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9">
            <w:pP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A">
            <w:pPr>
              <w:rPr>
                <w:sz w:val="22"/>
                <w:szCs w:val="22"/>
              </w:rPr>
            </w:pPr>
            <w:r w:rsidDel="00000000" w:rsidR="00000000" w:rsidRPr="00000000">
              <w:rPr>
                <w:sz w:val="22"/>
                <w:szCs w:val="22"/>
                <w:rtl w:val="0"/>
              </w:rPr>
              <w:t xml:space="preserve">Unconfirmed histologically. Code symptoms only.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B">
            <w:pPr>
              <w:rPr>
                <w:sz w:val="22"/>
                <w:szCs w:val="22"/>
              </w:rPr>
            </w:pPr>
            <w:r w:rsidDel="00000000" w:rsidR="00000000" w:rsidRPr="00000000">
              <w:rPr>
                <w:sz w:val="22"/>
                <w:szCs w:val="22"/>
                <w:rtl w:val="0"/>
              </w:rPr>
              <w:t xml:space="preserve">OSA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C">
            <w:pPr>
              <w:rPr>
                <w:sz w:val="22"/>
                <w:szCs w:val="22"/>
              </w:rPr>
            </w:pPr>
            <w:r w:rsidDel="00000000" w:rsidR="00000000" w:rsidRPr="00000000">
              <w:rPr>
                <w:sz w:val="22"/>
                <w:szCs w:val="22"/>
                <w:rtl w:val="0"/>
              </w:rPr>
              <w:t xml:space="preserve">DO NOT ASSIGN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D">
            <w:pP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E">
            <w:pPr>
              <w:rPr>
                <w:sz w:val="22"/>
                <w:szCs w:val="22"/>
              </w:rPr>
            </w:pPr>
            <w:sdt>
              <w:sdtPr>
                <w:id w:val="-803164245"/>
                <w:tag w:val="goog_rdk_1"/>
              </w:sdtPr>
              <w:sdtContent>
                <w:r w:rsidDel="00000000" w:rsidR="00000000" w:rsidRPr="00000000">
                  <w:rPr>
                    <w:rFonts w:ascii="Arial Unicode MS" w:cs="Arial Unicode MS" w:eastAsia="Arial Unicode MS" w:hAnsi="Arial Unicode MS"/>
                    <w:sz w:val="22"/>
                    <w:szCs w:val="22"/>
                    <w:rtl w:val="0"/>
                  </w:rPr>
                  <w:t xml:space="preserve">Undiagnosed. No PSG. Suspicion ≠ diagnosis.</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F">
            <w:pPr>
              <w:rPr>
                <w:sz w:val="22"/>
                <w:szCs w:val="22"/>
              </w:rPr>
            </w:pPr>
            <w:r w:rsidDel="00000000" w:rsidR="00000000" w:rsidRPr="00000000">
              <w:rPr>
                <w:sz w:val="22"/>
                <w:szCs w:val="22"/>
                <w:rtl w:val="0"/>
              </w:rPr>
              <w:t xml:space="preserve">Prediabetes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0">
            <w:pPr>
              <w:rPr>
                <w:sz w:val="22"/>
                <w:szCs w:val="22"/>
              </w:rPr>
            </w:pPr>
            <w:r w:rsidDel="00000000" w:rsidR="00000000" w:rsidRPr="00000000">
              <w:rPr>
                <w:sz w:val="22"/>
                <w:szCs w:val="22"/>
                <w:rtl w:val="0"/>
              </w:rPr>
              <w:t xml:space="preserve">DO NOT ASSIGN HCC 19</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1">
            <w:pP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2">
            <w:pPr>
              <w:rPr>
                <w:sz w:val="22"/>
                <w:szCs w:val="22"/>
              </w:rPr>
            </w:pPr>
            <w:r w:rsidDel="00000000" w:rsidR="00000000" w:rsidRPr="00000000">
              <w:rPr>
                <w:sz w:val="22"/>
                <w:szCs w:val="22"/>
                <w:rtl w:val="0"/>
              </w:rPr>
              <w:t xml:space="preserve">HbA1c 5.7% = prediabetes, not T2DM.</w:t>
            </w:r>
          </w:p>
        </w:tc>
      </w:tr>
    </w:tbl>
    <w:p w:rsidR="00000000" w:rsidDel="00000000" w:rsidP="00000000" w:rsidRDefault="00000000" w:rsidRPr="00000000" w14:paraId="00000033">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Risk Factors — Modifiable vs. Non-Modifiable</w:t>
      </w:r>
      <w:r w:rsidDel="00000000" w:rsidR="00000000" w:rsidRPr="00000000">
        <w:rPr>
          <w:rtl w:val="0"/>
        </w:rPr>
      </w:r>
    </w:p>
    <w:tbl>
      <w:tblPr>
        <w:tblStyle w:val="Table2"/>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580"/>
        <w:tblGridChange w:id="0">
          <w:tblGrid>
            <w:gridCol w:w="4680"/>
            <w:gridCol w:w="55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4">
            <w:pPr>
              <w:rPr>
                <w:sz w:val="22"/>
                <w:szCs w:val="22"/>
              </w:rPr>
            </w:pPr>
            <w:r w:rsidDel="00000000" w:rsidR="00000000" w:rsidRPr="00000000">
              <w:rPr>
                <w:b w:val="1"/>
                <w:bCs w:val="1"/>
                <w:sz w:val="22"/>
                <w:szCs w:val="22"/>
                <w:rtl w:val="0"/>
              </w:rPr>
              <w:t xml:space="preserve">Modifiable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5">
            <w:pPr>
              <w:rPr>
                <w:sz w:val="22"/>
                <w:szCs w:val="22"/>
              </w:rPr>
            </w:pPr>
            <w:r w:rsidDel="00000000" w:rsidR="00000000" w:rsidRPr="00000000">
              <w:rPr>
                <w:b w:val="1"/>
                <w:bCs w:val="1"/>
                <w:sz w:val="22"/>
                <w:szCs w:val="22"/>
                <w:rtl w:val="0"/>
              </w:rPr>
              <w:t xml:space="preserve">Non-Modifiable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6">
            <w:pPr>
              <w:rPr>
                <w:sz w:val="22"/>
                <w:szCs w:val="22"/>
              </w:rPr>
            </w:pPr>
            <w:r w:rsidDel="00000000" w:rsidR="00000000" w:rsidRPr="00000000">
              <w:rPr>
                <w:sz w:val="22"/>
                <w:szCs w:val="22"/>
                <w:rtl w:val="0"/>
              </w:rPr>
              <w:t xml:space="preserve">Montelukast exposure (can be stopped — done)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7">
            <w:pPr>
              <w:rPr>
                <w:sz w:val="22"/>
                <w:szCs w:val="22"/>
              </w:rPr>
            </w:pPr>
            <w:r w:rsidDel="00000000" w:rsidR="00000000" w:rsidRPr="00000000">
              <w:rPr>
                <w:sz w:val="22"/>
                <w:szCs w:val="22"/>
                <w:rtl w:val="0"/>
              </w:rPr>
              <w:t xml:space="preserve">ASD Level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8">
            <w:pPr>
              <w:rPr>
                <w:sz w:val="22"/>
                <w:szCs w:val="22"/>
              </w:rPr>
            </w:pPr>
            <w:r w:rsidDel="00000000" w:rsidR="00000000" w:rsidRPr="00000000">
              <w:rPr>
                <w:sz w:val="22"/>
                <w:szCs w:val="22"/>
                <w:rtl w:val="0"/>
              </w:rPr>
              <w:t xml:space="preserve">Oral iron in active IBD (can be switched to IV)</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9">
            <w:pPr>
              <w:rPr>
                <w:sz w:val="22"/>
                <w:szCs w:val="22"/>
              </w:rPr>
            </w:pPr>
            <w:r w:rsidDel="00000000" w:rsidR="00000000" w:rsidRPr="00000000">
              <w:rPr>
                <w:sz w:val="22"/>
                <w:szCs w:val="22"/>
                <w:rtl w:val="0"/>
              </w:rPr>
              <w:t xml:space="preserve">FASD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A">
            <w:pPr>
              <w:rPr>
                <w:sz w:val="22"/>
                <w:szCs w:val="22"/>
              </w:rPr>
            </w:pPr>
            <w:r w:rsidDel="00000000" w:rsidR="00000000" w:rsidRPr="00000000">
              <w:rPr>
                <w:sz w:val="22"/>
                <w:szCs w:val="22"/>
                <w:rtl w:val="0"/>
              </w:rPr>
              <w:t xml:space="preserve">Rising lead (source identified, toy removable)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B">
            <w:pPr>
              <w:rPr>
                <w:sz w:val="22"/>
                <w:szCs w:val="22"/>
              </w:rPr>
            </w:pPr>
            <w:r w:rsidDel="00000000" w:rsidR="00000000" w:rsidRPr="00000000">
              <w:rPr>
                <w:sz w:val="22"/>
                <w:szCs w:val="22"/>
                <w:rtl w:val="0"/>
              </w:rPr>
              <w:t xml:space="preserve">NF1 (genetic)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C">
            <w:pPr>
              <w:rPr>
                <w:sz w:val="22"/>
                <w:szCs w:val="22"/>
              </w:rPr>
            </w:pPr>
            <w:r w:rsidDel="00000000" w:rsidR="00000000" w:rsidRPr="00000000">
              <w:rPr>
                <w:sz w:val="22"/>
                <w:szCs w:val="22"/>
                <w:rtl w:val="0"/>
              </w:rPr>
              <w:t xml:space="preserve">Unresolved TB workup (ID referral placed)</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D">
            <w:pPr>
              <w:rPr>
                <w:sz w:val="22"/>
                <w:szCs w:val="22"/>
              </w:rPr>
            </w:pPr>
            <w:r w:rsidDel="00000000" w:rsidR="00000000" w:rsidRPr="00000000">
              <w:rPr>
                <w:sz w:val="22"/>
                <w:szCs w:val="22"/>
                <w:rtl w:val="0"/>
              </w:rPr>
              <w:t xml:space="preserve">Foster care instability (4 placements in 3 years)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E">
            <w:pPr>
              <w:rPr>
                <w:sz w:val="22"/>
                <w:szCs w:val="22"/>
              </w:rPr>
            </w:pPr>
            <w:r w:rsidDel="00000000" w:rsidR="00000000" w:rsidRPr="00000000">
              <w:rPr>
                <w:sz w:val="22"/>
                <w:szCs w:val="22"/>
                <w:rtl w:val="0"/>
              </w:rPr>
              <w:t xml:space="preserve">Unmanaged Crohn’s (GI referral, bridge therapy)</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F">
            <w:pPr>
              <w:rPr>
                <w:sz w:val="22"/>
                <w:szCs w:val="22"/>
              </w:rPr>
            </w:pPr>
            <w:r w:rsidDel="00000000" w:rsidR="00000000" w:rsidRPr="00000000">
              <w:rPr>
                <w:sz w:val="22"/>
                <w:szCs w:val="22"/>
                <w:rtl w:val="0"/>
              </w:rPr>
              <w:t xml:space="preserve">Maternal TB exposure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0">
            <w:pPr>
              <w:rPr>
                <w:sz w:val="22"/>
                <w:szCs w:val="22"/>
              </w:rPr>
            </w:pPr>
            <w:r w:rsidDel="00000000" w:rsidR="00000000" w:rsidRPr="00000000">
              <w:rPr>
                <w:sz w:val="22"/>
                <w:szCs w:val="22"/>
                <w:rtl w:val="0"/>
              </w:rPr>
              <w:t xml:space="preserve">Suspected untreated obstructive sleep apnea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1">
            <w:pPr>
              <w:rPr>
                <w:sz w:val="22"/>
                <w:szCs w:val="22"/>
              </w:rPr>
            </w:pPr>
            <w:r w:rsidDel="00000000" w:rsidR="00000000" w:rsidRPr="00000000">
              <w:rPr>
                <w:sz w:val="22"/>
                <w:szCs w:val="22"/>
                <w:rtl w:val="0"/>
              </w:rPr>
              <w:t xml:space="preserve">Prematurity / developmental trajectory (FASD)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2">
            <w:pPr>
              <w:rPr>
                <w:sz w:val="22"/>
                <w:szCs w:val="22"/>
              </w:rPr>
            </w:pPr>
            <w:r w:rsidDel="00000000" w:rsidR="00000000" w:rsidRPr="00000000">
              <w:rPr>
                <w:sz w:val="22"/>
                <w:szCs w:val="22"/>
                <w:rtl w:val="0"/>
              </w:rPr>
              <w:t xml:space="preserve">Educational instability / unaccommodated learning environment</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3">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4">
            <w:pPr>
              <w:rPr>
                <w:sz w:val="22"/>
                <w:szCs w:val="22"/>
              </w:rPr>
            </w:pPr>
            <w:r w:rsidDel="00000000" w:rsidR="00000000" w:rsidRPr="00000000">
              <w:rPr>
                <w:sz w:val="22"/>
                <w:szCs w:val="22"/>
                <w:rtl w:val="0"/>
              </w:rPr>
              <w:t xml:space="preserve">Unmonitored antipsychotic metabolic effects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5">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6">
            <w:pPr>
              <w:rPr>
                <w:sz w:val="22"/>
                <w:szCs w:val="22"/>
              </w:rPr>
            </w:pPr>
            <w:r w:rsidDel="00000000" w:rsidR="00000000" w:rsidRPr="00000000">
              <w:rPr>
                <w:sz w:val="22"/>
                <w:szCs w:val="22"/>
                <w:rtl w:val="0"/>
              </w:rPr>
              <w:t xml:space="preserve">Ongoing environmental lead exposure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7">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8">
            <w:pPr>
              <w:rPr>
                <w:sz w:val="22"/>
                <w:szCs w:val="22"/>
              </w:rPr>
            </w:pPr>
            <w:r w:rsidDel="00000000" w:rsidR="00000000" w:rsidRPr="00000000">
              <w:rPr>
                <w:sz w:val="22"/>
                <w:szCs w:val="22"/>
                <w:rtl w:val="0"/>
              </w:rPr>
              <w:t xml:space="preserve">Fragmented prescriber communication across 3 providers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9">
            <w:pPr>
              <w:rPr>
                <w:sz w:val="22"/>
                <w:szCs w:val="22"/>
              </w:rPr>
            </w:pPr>
            <w:r w:rsidDel="00000000" w:rsidR="00000000" w:rsidRPr="00000000">
              <w:rPr>
                <w:rtl w:val="0"/>
              </w:rPr>
            </w:r>
          </w:p>
        </w:tc>
      </w:tr>
    </w:tbl>
    <w:p w:rsidR="00000000" w:rsidDel="00000000" w:rsidP="00000000" w:rsidRDefault="00000000" w:rsidRPr="00000000" w14:paraId="0000004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Utilization vs. Clinical Trajectory</w:t>
      </w:r>
      <w:r w:rsidDel="00000000" w:rsidR="00000000" w:rsidRPr="00000000">
        <w:rPr>
          <w:rtl w:val="0"/>
        </w:rPr>
      </w:r>
    </w:p>
    <w:p w:rsidR="00000000" w:rsidDel="00000000" w:rsidP="00000000" w:rsidRDefault="00000000" w:rsidRPr="00000000" w14:paraId="0000004B">
      <w:pPr>
        <w:spacing w:after="40" w:before="40" w:lineRule="auto"/>
        <w:rPr>
          <w:sz w:val="22"/>
          <w:szCs w:val="22"/>
        </w:rPr>
      </w:pPr>
      <w:sdt>
        <w:sdtPr>
          <w:id w:val="-1793008426"/>
          <w:tag w:val="goog_rdk_2"/>
        </w:sdtPr>
        <w:sdtContent>
          <w:r w:rsidDel="00000000" w:rsidR="00000000" w:rsidRPr="00000000">
            <w:rPr>
              <w:rFonts w:ascii="Arial Unicode MS" w:cs="Arial Unicode MS" w:eastAsia="Arial Unicode MS" w:hAnsi="Arial Unicode MS"/>
              <w:sz w:val="22"/>
              <w:szCs w:val="22"/>
              <w:rtl w:val="0"/>
            </w:rPr>
            <w:t xml:space="preserve">Marcus was discharged from his 4th intubation just 16 days before the index encounter. A utilization-based model might interpret the absence of a return ED visit as stabilization, but this period coincides with a care transition vacuum — new foster placement, no established PCP, records fragmented across two county systems, prior PCP unreachable. The absence of return utilization reflects system disconnection, not clinical improvement. The underlying biological trajectory is deteriorating: TB workup unresolved while immunosuppressant history persists, Crohn’s unmanaged for 2 months with no bridge therapy, lead levels rising across three timepoints, and HbA1c trending up (5.4% → 5.7%) despite being underweight.</w:t>
          </w:r>
        </w:sdtContent>
      </w:sdt>
    </w:p>
    <w:p w:rsidR="00000000" w:rsidDel="00000000" w:rsidP="00000000" w:rsidRDefault="00000000" w:rsidRPr="00000000" w14:paraId="0000004C">
      <w:pPr>
        <w:spacing w:after="40" w:before="40" w:lineRule="auto"/>
        <w:rPr>
          <w:sz w:val="22"/>
          <w:szCs w:val="22"/>
        </w:rPr>
      </w:pPr>
      <w:r w:rsidDel="00000000" w:rsidR="00000000" w:rsidRPr="00000000">
        <w:rPr>
          <w:sz w:val="22"/>
          <w:szCs w:val="22"/>
          <w:rtl w:val="0"/>
        </w:rPr>
        <w:t xml:space="preserve">A secondary tension exists between the number of active diagnoses (10) and the apparent clinical stability at presentation. Marcus presents alert and ambulatory at the intake visit. The risk is entirely forward-looking: a single TB reactivation event in this child could trigger a catastrophic cascade (respiratory failure in a child with 4 prior intubations + severe asthma + unmanaged IBD + rising lead + no established care team).</w:t>
      </w:r>
    </w:p>
    <w:p w:rsidR="00000000" w:rsidDel="00000000" w:rsidP="00000000" w:rsidRDefault="00000000" w:rsidRPr="00000000" w14:paraId="0000004D">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Social Determinants of Health</w:t>
      </w:r>
      <w:r w:rsidDel="00000000" w:rsidR="00000000" w:rsidRPr="00000000">
        <w:rPr>
          <w:rtl w:val="0"/>
        </w:rPr>
      </w:r>
    </w:p>
    <w:p w:rsidR="00000000" w:rsidDel="00000000" w:rsidP="00000000" w:rsidRDefault="00000000" w:rsidRPr="00000000" w14:paraId="0000004E">
      <w:pPr>
        <w:spacing w:after="40" w:before="40" w:lineRule="auto"/>
        <w:rPr>
          <w:sz w:val="22"/>
          <w:szCs w:val="22"/>
        </w:rPr>
      </w:pPr>
      <w:r w:rsidDel="00000000" w:rsidR="00000000" w:rsidRPr="00000000">
        <w:rPr>
          <w:sz w:val="22"/>
          <w:szCs w:val="22"/>
          <w:rtl w:val="0"/>
        </w:rPr>
        <w:t xml:space="preserve">Z62.21 — Child in foster care (4th placement in 3 years). Z60.4 — Historical language barrier (bio mother Spanish-speaking, immigration/clinic documents in Spanish). Bio mother is currently uncontactable; Marcus’s primary language is English. This is relevant to the TB document chain but is not an active care barrier. Z62.810 — History of domestic violence exposure. Z59.4 — Note: social work assessment documents “adequate food access.” Selective eating in the foster log reflects ASD-related food preferences, not food insecurity. Z59.4 should not be assigned. Z55.9 — Educational disruption (IEP not transferred, 6+ weeks without accommodations). Z77.011 — Lead exposure. Z62.22 — Institutional rearing / placement instability.</w:t>
      </w:r>
    </w:p>
    <w:p w:rsidR="00000000" w:rsidDel="00000000" w:rsidP="00000000" w:rsidRDefault="00000000" w:rsidRPr="00000000" w14:paraId="0000004F">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Forward-Looking Risk Assessment</w:t>
      </w:r>
      <w:r w:rsidDel="00000000" w:rsidR="00000000" w:rsidRPr="00000000">
        <w:rPr>
          <w:rtl w:val="0"/>
        </w:rPr>
      </w:r>
    </w:p>
    <w:p w:rsidR="00000000" w:rsidDel="00000000" w:rsidP="00000000" w:rsidRDefault="00000000" w:rsidRPr="00000000" w14:paraId="00000050">
      <w:pPr>
        <w:spacing w:after="40" w:before="40" w:lineRule="auto"/>
        <w:rPr>
          <w:sz w:val="22"/>
          <w:szCs w:val="22"/>
        </w:rPr>
      </w:pPr>
      <w:r w:rsidDel="00000000" w:rsidR="00000000" w:rsidRPr="00000000">
        <w:rPr>
          <w:sz w:val="22"/>
          <w:szCs w:val="22"/>
          <w:rtl w:val="0"/>
        </w:rPr>
        <w:t xml:space="preserve">Marcus’s trajectory is catastrophic despite surface-level stability. The critical inflection point is the unresolved TB workup: an indeterminate IGRA in a child with prior immunosuppressant exposure, a three-source maternal exposure chain, and an unresolved RUL infiltrate that the prior hospital team dismissed as atypical pneumonia. If TB activates, this child has 4 prior intubations, severe persistent asthma, and no established pulmonary or infectious disease care team. Simultaneously, his Crohn’s has been unmanaged for 2 months with no bridge therapy, ferritin is critically low (6 µg/L), and the infliximab restart requires TB clearance, LFT normalization, colonoscopy, and a new prior authorization that will take weeks to months to clear. Lead continues to rise with an identified but unremoved source. The next 90 days represent the highest-risk window: either the care coordination infrastructure gets built at this intake visit, or this child re-enters the cycle of fragmented emergency-driven care that produced the current crisis.</w:t>
      </w:r>
    </w:p>
    <w:p w:rsidR="00000000" w:rsidDel="00000000" w:rsidP="00000000" w:rsidRDefault="00000000" w:rsidRPr="00000000" w14:paraId="00000051">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52">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53">
      <w:pPr>
        <w:spacing w:after="40" w:before="40" w:lineRule="auto"/>
        <w:rPr>
          <w:b w:val="1"/>
          <w:bCs w:val="1"/>
          <w:sz w:val="22"/>
          <w:szCs w:val="22"/>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q0wg/+kE5pPPP/WH39gB8CpA==">CgMxLjAaHQoBMBIYChYIB0ISEhBBcmlhbCBVbmljb2RlIE1TGh0KATESGAoWCAdCEhIQQXJpYWwgVW5pY29kZSBNUxodCgEyEhgKFggHQhISEEFyaWFsIFVuaWNvZGUgTVM4AHIhMWZVQkF0Q2o2SlpuVEZuV0tkVjhNODJ2YUNtcEh1YmE0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