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 w:before="40" w:lineRule="auto"/>
        <w:rPr>
          <w:sz w:val="22"/>
          <w:szCs w:val="22"/>
        </w:rPr>
      </w:pPr>
      <w:r w:rsidDel="00000000" w:rsidR="00000000" w:rsidRPr="00000000">
        <w:rPr>
          <w:b w:val="1"/>
          <w:bCs w:val="1"/>
          <w:sz w:val="26"/>
          <w:szCs w:val="26"/>
          <w:rtl w:val="0"/>
        </w:rPr>
        <w:t xml:space="preserve">GRADER GUIDELINES — TASK 5: PATIENT RISK STRATIFICATION</w:t>
      </w:r>
      <w:r w:rsidDel="00000000" w:rsidR="00000000" w:rsidRPr="00000000">
        <w:rPr>
          <w:rtl w:val="0"/>
        </w:rPr>
      </w:r>
    </w:p>
    <w:p w:rsidR="00000000" w:rsidDel="00000000" w:rsidP="00000000" w:rsidRDefault="00000000" w:rsidRPr="00000000" w14:paraId="00000002">
      <w:pPr>
        <w:spacing w:after="120" w:before="40" w:lineRule="auto"/>
        <w:rPr>
          <w:sz w:val="22"/>
          <w:szCs w:val="22"/>
        </w:rPr>
      </w:pPr>
      <w:r w:rsidDel="00000000" w:rsidR="00000000" w:rsidRPr="00000000">
        <w:rPr>
          <w:sz w:val="20"/>
          <w:szCs w:val="20"/>
          <w:rtl w:val="0"/>
        </w:rPr>
        <w:t xml:space="preserve">Marcus D. Whitfield  |  PED-2025-04471  |  10-year-old male</w:t>
      </w:r>
      <w:r w:rsidDel="00000000" w:rsidR="00000000" w:rsidRPr="00000000">
        <w:rPr>
          <w:rtl w:val="0"/>
        </w:rPr>
      </w:r>
    </w:p>
    <w:p w:rsidR="00000000" w:rsidDel="00000000" w:rsidP="00000000" w:rsidRDefault="00000000" w:rsidRPr="00000000" w14:paraId="00000003">
      <w:pPr>
        <w:spacing w:after="40" w:before="40" w:lineRule="auto"/>
        <w:rPr>
          <w:sz w:val="22"/>
          <w:szCs w:val="22"/>
        </w:rPr>
      </w:pPr>
      <w:r w:rsidDel="00000000" w:rsidR="00000000" w:rsidRPr="00000000">
        <w:rPr>
          <w:sz w:val="22"/>
          <w:szCs w:val="22"/>
          <w:rtl w:val="0"/>
        </w:rPr>
        <w:t xml:space="preserve">You are reviewing a patient risk stratification summary for Marcus Whitfield, a 10-year-old male in foster care with 10 active chronic conditions. The prompt asked the model to assign a risk tier with documented rationale. It did not specify HCC analysis, SDOH assessment, or forward-looking trajectory — a model that includes these is demonstrating domain competence beyond the prompt.</w:t>
      </w:r>
    </w:p>
    <w:p w:rsidR="00000000" w:rsidDel="00000000" w:rsidP="00000000" w:rsidRDefault="00000000" w:rsidRPr="00000000" w14:paraId="00000004">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GOLDEN REFERENCE</w:t>
      </w:r>
      <w:r w:rsidDel="00000000" w:rsidR="00000000" w:rsidRPr="00000000">
        <w:rPr>
          <w:rtl w:val="0"/>
        </w:rPr>
      </w:r>
    </w:p>
    <w:p w:rsidR="00000000" w:rsidDel="00000000" w:rsidP="00000000" w:rsidRDefault="00000000" w:rsidRPr="00000000" w14:paraId="00000005">
      <w:pPr>
        <w:spacing w:after="40" w:before="40" w:lineRule="auto"/>
        <w:rPr>
          <w:sz w:val="22"/>
          <w:szCs w:val="22"/>
        </w:rPr>
      </w:pPr>
      <w:r w:rsidDel="00000000" w:rsidR="00000000" w:rsidRPr="00000000">
        <w:rPr>
          <w:sz w:val="22"/>
          <w:szCs w:val="22"/>
          <w:rtl w:val="0"/>
        </w:rPr>
        <w:t xml:space="preserve">Open World_003_T5_Golden_Response.docx before grading.</w:t>
      </w:r>
    </w:p>
    <w:p w:rsidR="00000000" w:rsidDel="00000000" w:rsidP="00000000" w:rsidRDefault="00000000" w:rsidRPr="00000000" w14:paraId="00000006">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A) CLINICAL ACCURACY — MUST BE PRESENT AND CORRECT</w:t>
      </w:r>
      <w:r w:rsidDel="00000000" w:rsidR="00000000" w:rsidRPr="00000000">
        <w:rPr>
          <w:rtl w:val="0"/>
        </w:rPr>
      </w:r>
    </w:p>
    <w:p w:rsidR="00000000" w:rsidDel="00000000" w:rsidP="00000000" w:rsidRDefault="00000000" w:rsidRPr="00000000" w14:paraId="00000007">
      <w:pPr>
        <w:spacing w:after="40" w:before="40" w:lineRule="auto"/>
        <w:rPr>
          <w:sz w:val="22"/>
          <w:szCs w:val="22"/>
        </w:rPr>
      </w:pPr>
      <w:r w:rsidDel="00000000" w:rsidR="00000000" w:rsidRPr="00000000">
        <w:rPr>
          <w:sz w:val="22"/>
          <w:szCs w:val="22"/>
          <w:rtl w:val="0"/>
        </w:rPr>
        <w:t xml:space="preserve">The tier assignment must reflect the highest risk category. Accept any framework or label (Tier 3, Tier 5, Complex/Catastrophic, Level 4, etc.) as long as it represents the maximum risk tier and the rationale is documented. Three factors independently justify this: the active TB workup in an immunosuppressed child, uncontrolled IBD without bridge therapy for 2 months, and rising lead levels with ongoing exposure. A model that assigns Tier 2 because recent utilization is low has been deceived by surface-level stability. The post-discharge period (4th intubation discharged 03/02, just 16 days before index encounter) reflects a care transition vacuum, not clinical improvement.</w:t>
      </w:r>
    </w:p>
    <w:p w:rsidR="00000000" w:rsidDel="00000000" w:rsidP="00000000" w:rsidRDefault="00000000" w:rsidRPr="00000000" w14:paraId="00000008">
      <w:pPr>
        <w:spacing w:after="40" w:before="40" w:lineRule="auto"/>
        <w:rPr>
          <w:sz w:val="22"/>
          <w:szCs w:val="22"/>
        </w:rPr>
      </w:pPr>
      <w:r w:rsidDel="00000000" w:rsidR="00000000" w:rsidRPr="00000000">
        <w:rPr>
          <w:sz w:val="22"/>
          <w:szCs w:val="22"/>
          <w:rtl w:val="0"/>
        </w:rPr>
        <w:t xml:space="preserve">If the model includes HCC/RAF analysis, it must respect the confirmed-only rule. Three conditions are traps: Crohn’s must not receive HCC 35 (unconfirmed histologically), OSA must not receive an HCC (never formally diagnosed by PSG), and prediabetes must not receive HCC 19 (confirmed T2DM required). Confirmed diagnoses that are HCC-eligible include ASD and asthma. PTSD and NF1 may or may not map depending on the risk-adjustment model in use — do not penalize a model that excludes them. The choice of HCC model (CMS-HCC V24/V28, HHS-HCC, CDPS) is NOT a scoring factor. Do not deduct any points for framework selection. If the model includes HCC analysis, the confirmed-only logic is what matters.</w:t>
      </w:r>
    </w:p>
    <w:p w:rsidR="00000000" w:rsidDel="00000000" w:rsidP="00000000" w:rsidRDefault="00000000" w:rsidRPr="00000000" w14:paraId="00000009">
      <w:pPr>
        <w:spacing w:after="40" w:before="40" w:lineRule="auto"/>
        <w:rPr>
          <w:sz w:val="22"/>
          <w:szCs w:val="22"/>
        </w:rPr>
      </w:pPr>
      <w:r w:rsidDel="00000000" w:rsidR="00000000" w:rsidRPr="00000000">
        <w:rPr>
          <w:sz w:val="22"/>
          <w:szCs w:val="22"/>
          <w:rtl w:val="0"/>
        </w:rPr>
        <w:t xml:space="preserve">The risk profile must incorporate SDOH factors. A model that produces a stratification based entirely on clinical diagnoses and utilization, with no mention of foster care instability, educational disruption, or placement instability, has produced an incomplete analysis. Note: the social work assessment documents “adequate food access” — do not require Z59.4 food insecurity. Language barriers are historical (bio mother uncontactable, Marcus speaks English) — accept as optional/contextual.</w:t>
      </w:r>
    </w:p>
    <w:p w:rsidR="00000000" w:rsidDel="00000000" w:rsidP="00000000" w:rsidRDefault="00000000" w:rsidRPr="00000000" w14:paraId="0000000A">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B) SCOPE AND FORMAT</w:t>
      </w:r>
      <w:r w:rsidDel="00000000" w:rsidR="00000000" w:rsidRPr="00000000">
        <w:rPr>
          <w:rtl w:val="0"/>
        </w:rPr>
      </w:r>
    </w:p>
    <w:p w:rsidR="00000000" w:rsidDel="00000000" w:rsidP="00000000" w:rsidRDefault="00000000" w:rsidRPr="00000000" w14:paraId="0000000B">
      <w:pPr>
        <w:spacing w:after="40" w:before="40" w:lineRule="auto"/>
        <w:rPr>
          <w:sz w:val="22"/>
          <w:szCs w:val="22"/>
        </w:rPr>
      </w:pPr>
      <w:r w:rsidDel="00000000" w:rsidR="00000000" w:rsidRPr="00000000">
        <w:rPr>
          <w:sz w:val="22"/>
          <w:szCs w:val="22"/>
          <w:rtl w:val="0"/>
        </w:rPr>
        <w:t xml:space="preserve">The prompt asks only for a risk tier with rationale. A model that also includes HCC/RAF analysis, SDOH assessment, and forward-looking trajectory is demonstrating domain competence and should be scored higher than one that provides only a tier label. A model that provides only a tier assignment with documented rationale has answered the prompt but produced a minimal response — score accordingly. Accept any reasonable risk stratification framework. Penalize meaningfully for: omitting the tier assignment entirely; producing a problem list rather than a risk analysis. Do not penalize structural variation — section labels, ordering, and narrative style differ across institutions.</w:t>
      </w:r>
    </w:p>
    <w:p w:rsidR="00000000" w:rsidDel="00000000" w:rsidP="00000000" w:rsidRDefault="00000000" w:rsidRPr="00000000" w14:paraId="0000000C">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C) GOOD PRACTICE — SHOWN IN GOLDEN ANSWER, NOT REQUIRED</w:t>
      </w:r>
      <w:r w:rsidDel="00000000" w:rsidR="00000000" w:rsidRPr="00000000">
        <w:rPr>
          <w:rtl w:val="0"/>
        </w:rPr>
      </w:r>
    </w:p>
    <w:p w:rsidR="00000000" w:rsidDel="00000000" w:rsidP="00000000" w:rsidRDefault="00000000" w:rsidRPr="00000000" w14:paraId="0000000D">
      <w:pPr>
        <w:spacing w:after="40" w:before="40" w:lineRule="auto"/>
        <w:rPr>
          <w:sz w:val="22"/>
          <w:szCs w:val="22"/>
        </w:rPr>
      </w:pPr>
      <w:sdt>
        <w:sdtPr>
          <w:id w:val="1208877101"/>
          <w:tag w:val="goog_rdk_0"/>
        </w:sdtPr>
        <w:sdtContent>
          <w:r w:rsidDel="00000000" w:rsidR="00000000" w:rsidRPr="00000000">
            <w:rPr>
              <w:rFonts w:ascii="Arial Unicode MS" w:cs="Arial Unicode MS" w:eastAsia="Arial Unicode MS" w:hAnsi="Arial Unicode MS"/>
              <w:sz w:val="22"/>
              <w:szCs w:val="22"/>
              <w:rtl w:val="0"/>
            </w:rPr>
            <w:t xml:space="preserve">Distinguishing modifiable from non-modifiable risk factors. Flagging the lapsed infliximab prior authorization as an administrative barrier compounding clinical risk. Using specific Z-codes for SDOH factors. Identifying the HbA1c trend (5.4% → 5.7%) as a deteriorating metabolic signal. Framing the 90-day window as the highest-risk period.</w:t>
          </w:r>
        </w:sdtContent>
      </w:sdt>
    </w:p>
    <w:p w:rsidR="00000000" w:rsidDel="00000000" w:rsidP="00000000" w:rsidRDefault="00000000" w:rsidRPr="00000000" w14:paraId="0000000E">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D) KNOWN ERRORS — PENALIZE FOR</w:t>
      </w:r>
      <w:r w:rsidDel="00000000" w:rsidR="00000000" w:rsidRPr="00000000">
        <w:rPr>
          <w:rtl w:val="0"/>
        </w:rPr>
      </w:r>
    </w:p>
    <w:p w:rsidR="00000000" w:rsidDel="00000000" w:rsidP="00000000" w:rsidRDefault="00000000" w:rsidRPr="00000000" w14:paraId="0000000F">
      <w:pPr>
        <w:spacing w:after="40" w:before="40" w:lineRule="auto"/>
        <w:rPr>
          <w:sz w:val="22"/>
          <w:szCs w:val="22"/>
        </w:rPr>
      </w:pPr>
      <w:r w:rsidDel="00000000" w:rsidR="00000000" w:rsidRPr="00000000">
        <w:rPr>
          <w:sz w:val="22"/>
          <w:szCs w:val="22"/>
          <w:rtl w:val="0"/>
        </w:rPr>
        <w:t xml:space="preserve">Models assign Tier 2 based on low recent utilization. The trap tests whether the model can see past surface-level utilization patterns. A related pattern: models interpret the new foster placement as a stabilizing event rather than recognizing the care coordination vacuum it represents.</w:t>
      </w:r>
    </w:p>
    <w:p w:rsidR="00000000" w:rsidDel="00000000" w:rsidP="00000000" w:rsidRDefault="00000000" w:rsidRPr="00000000" w14:paraId="00000010">
      <w:pPr>
        <w:spacing w:after="40" w:before="40" w:lineRule="auto"/>
        <w:rPr>
          <w:sz w:val="22"/>
          <w:szCs w:val="22"/>
        </w:rPr>
      </w:pPr>
      <w:r w:rsidDel="00000000" w:rsidR="00000000" w:rsidRPr="00000000">
        <w:rPr>
          <w:sz w:val="22"/>
          <w:szCs w:val="22"/>
          <w:rtl w:val="0"/>
        </w:rPr>
        <w:t xml:space="preserve">Models that include HCC analysis assign HCCs to unconfirmed conditions. Crohn’s appears clinically convincing (CT findings, GI note), OSA appears clinically obvious (O2 desats, witnessed apneas, tonsils 3+), and prediabetes sits exactly at the diagnostic threshold (5.7%). All three are traps — clinical probability does not equal diagnostic confirmation for HCC coding.</w:t>
      </w:r>
    </w:p>
    <w:p w:rsidR="00000000" w:rsidDel="00000000" w:rsidP="00000000" w:rsidRDefault="00000000" w:rsidRPr="00000000" w14:paraId="00000011">
      <w:pPr>
        <w:spacing w:after="40" w:before="40" w:lineRule="auto"/>
        <w:rPr>
          <w:sz w:val="22"/>
          <w:szCs w:val="22"/>
        </w:rPr>
      </w:pPr>
      <w:r w:rsidDel="00000000" w:rsidR="00000000" w:rsidRPr="00000000">
        <w:rPr>
          <w:sz w:val="22"/>
          <w:szCs w:val="22"/>
          <w:rtl w:val="0"/>
        </w:rPr>
        <w:t xml:space="preserve">Models omit SDOH entirely. A risk stratification that addresses only biological complexity in a child with 4 foster placements, domestic violence exposure, and educational disruption has missed half the risk profile. Do not penalize omission of food insecurity or active language barriers if the model correctly notes adequate food access and English as primary language.</w:t>
      </w:r>
    </w:p>
    <w:p w:rsidR="00000000" w:rsidDel="00000000" w:rsidP="00000000" w:rsidRDefault="00000000" w:rsidRPr="00000000" w14:paraId="00000012">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SCORING</w:t>
      </w:r>
      <w:r w:rsidDel="00000000" w:rsidR="00000000" w:rsidRPr="00000000">
        <w:rPr>
          <w:rtl w:val="0"/>
        </w:rPr>
      </w:r>
    </w:p>
    <w:p w:rsidR="00000000" w:rsidDel="00000000" w:rsidP="00000000" w:rsidRDefault="00000000" w:rsidRPr="00000000" w14:paraId="00000013">
      <w:pPr>
        <w:spacing w:after="40" w:before="40" w:lineRule="auto"/>
        <w:rPr>
          <w:sz w:val="22"/>
          <w:szCs w:val="22"/>
        </w:rPr>
      </w:pPr>
      <w:r w:rsidDel="00000000" w:rsidR="00000000" w:rsidRPr="00000000">
        <w:rPr>
          <w:sz w:val="22"/>
          <w:szCs w:val="22"/>
          <w:rtl w:val="0"/>
        </w:rPr>
        <w:t xml:space="preserve">Provide a single score between 0–1 with reasoning. Format: &lt;reasoning&gt;...&lt;/reasoning&gt;&lt;score&gt;...&lt;/score&gt;</w:t>
      </w:r>
    </w:p>
    <w:p w:rsidR="00000000" w:rsidDel="00000000" w:rsidP="00000000" w:rsidRDefault="00000000" w:rsidRPr="00000000" w14:paraId="00000014">
      <w:pPr>
        <w:spacing w:after="40" w:before="40" w:lineRule="auto"/>
        <w:rPr>
          <w:b w:val="1"/>
          <w:bCs w:val="1"/>
          <w:sz w:val="22"/>
          <w:szCs w:val="22"/>
        </w:rPr>
      </w:pPr>
      <w:r w:rsidDel="00000000" w:rsidR="00000000" w:rsidRPr="00000000">
        <w:rPr>
          <w:rtl w:val="0"/>
        </w:rPr>
      </w:r>
    </w:p>
    <w:p w:rsidR="00000000" w:rsidDel="00000000" w:rsidP="00000000" w:rsidRDefault="00000000" w:rsidRPr="00000000" w14:paraId="00000015">
      <w:pPr>
        <w:spacing w:after="40" w:before="40" w:lineRule="auto"/>
        <w:rPr>
          <w:b w:val="1"/>
          <w:bCs w:val="1"/>
          <w:sz w:val="26"/>
          <w:szCs w:val="26"/>
        </w:rPr>
      </w:pPr>
      <w:r w:rsidDel="00000000" w:rsidR="00000000" w:rsidRPr="00000000">
        <w:rPr>
          <w:rtl w:val="0"/>
        </w:rPr>
      </w:r>
    </w:p>
    <w:p w:rsidR="00000000" w:rsidDel="00000000" w:rsidP="00000000" w:rsidRDefault="00000000" w:rsidRPr="00000000" w14:paraId="00000016">
      <w:pPr>
        <w:spacing w:after="40" w:before="40" w:lineRule="auto"/>
        <w:rPr>
          <w:b w:val="1"/>
          <w:bCs w:val="1"/>
          <w:sz w:val="22"/>
          <w:szCs w:val="22"/>
        </w:rPr>
      </w:pPr>
      <w:r w:rsidDel="00000000" w:rsidR="00000000" w:rsidRPr="00000000">
        <w:rPr>
          <w:rtl w:val="0"/>
        </w:rPr>
      </w:r>
    </w:p>
    <w:p w:rsidR="00000000" w:rsidDel="00000000" w:rsidP="00000000" w:rsidRDefault="00000000" w:rsidRPr="00000000" w14:paraId="00000017">
      <w:pPr>
        <w:spacing w:after="40" w:before="40" w:lineRule="auto"/>
        <w:rPr>
          <w:b w:val="1"/>
          <w:bCs w:val="1"/>
          <w:sz w:val="26"/>
          <w:szCs w:val="26"/>
        </w:rPr>
      </w:pPr>
      <w:r w:rsidDel="00000000" w:rsidR="00000000" w:rsidRPr="00000000">
        <w:rPr>
          <w:rtl w:val="0"/>
        </w:rPr>
      </w:r>
    </w:p>
    <w:p w:rsidR="00000000" w:rsidDel="00000000" w:rsidP="00000000" w:rsidRDefault="00000000" w:rsidRPr="00000000" w14:paraId="00000018">
      <w:pPr>
        <w:spacing w:after="40" w:before="40" w:lineRule="auto"/>
        <w:rPr>
          <w:b w:val="1"/>
          <w:bCs w:val="1"/>
          <w:sz w:val="22"/>
          <w:szCs w:val="22"/>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4IPa0hQLdTW0S/Hyb4me+OeLlg==">CgMxLjAaHQoBMBIYChYIB0ISEhBBcmlhbCBVbmljb2RlIE1TOAByITFNaHRQbkZZLXBwS3VBQklkREdiMlJlUVZ0VDY2TDNDRQ==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