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6: PRIOR AUTHORIZATION REQUEST</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sz w:val="20"/>
          <w:szCs w:val="20"/>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a prior authorization request for infliximab prepared for Marcus Whitfield, a 10-year-old male in foster care on DCFS Medicaid. The infliximab prior auth lapsed in 11/2025 during a clinical hold and was never renewed. The prompt asked the model to prepare a bulletproof PA request using the attached chart. It did not specify diagnosis coding requirements, clinical hold acknowledgment, or documentation curation — a model that addresses these is demonstrating PA domain competence beyond the prompt.</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World_003_T6_Golden_Response.docx before grading.</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Diagnosis coding and DCFS Foster Care Medicaid awareness are baseline requirements, not high-ceiling discriminators. The prior authorization file in the chart (prior_auth_infliximab_05_2025.pdf) itself lists Crohn’s disease (K50.90) — suspected, pending histologic confirmation — and DCFS Foster Care coverage; a model that reads this file will reproduce these facts. A PA must carry a Crohn’s disease code (any K50.x — K50.00, K50.80, or K50.90 are all acceptable) with justification citing the CT enterography findings and documented clinical response to infliximab, and must acknowledge that histologic confirmation is pending. Accept any phrasing that conveys the diagnosis is not histologically confirmed (e.g., “presumptive,” “clinically suspected,” “pending biopsy,” “radiographic diagnosis”). Do not require the specific word “presumptive.” A model that uses symptom codes (K52.9, R19.x) or omits the diagnosis code entirely has produced a PA that does not match the drug’s approved indications and will be returned by the payer. Treat the presence of K50.x and DCFS Medicaid awareness as the floor, not the ceiling.</w:t>
      </w:r>
    </w:p>
    <w:p w:rsidR="00000000" w:rsidDel="00000000" w:rsidP="00000000" w:rsidRDefault="00000000" w:rsidRPr="00000000" w14:paraId="00000008">
      <w:pPr>
        <w:spacing w:after="40" w:before="40" w:lineRule="auto"/>
        <w:rPr>
          <w:sz w:val="22"/>
          <w:szCs w:val="22"/>
        </w:rPr>
      </w:pPr>
      <w:r w:rsidDel="00000000" w:rsidR="00000000" w:rsidRPr="00000000">
        <w:rPr>
          <w:sz w:val="22"/>
          <w:szCs w:val="22"/>
          <w:rtl w:val="0"/>
        </w:rPr>
        <w:t xml:space="preserve">Clinical hold synthesis is the primary discriminator of domain competence. The prompt does not mention the hold, and the full picture requires integrating three independent files: the GI hold letter (01/25/2026) cites elevated LFTs only, the IGRA (03/05/2026) returned indeterminate, and the CT enterography (07/14/2025) recommended a colonoscopy that was never completed. A model that identifies all three conditions and conveys to the payer that restart is contingent on clinical conditions clearing is demonstrating the synthesis this task is designed to test. A model that identifies only the LFT hold (copying from the most recent hold letter) has performed shallow single-source reading. Accept any framing that acknowledges the three conditions — do not require them to be labeled as “gates.” A prospective authorization with an estimated timeline (e.g., 8–12 weeks contingent on clearance) is the strongest approach and should be credited meaningfully. The TB exposure chain across the Guatemala immigration form, the 2017 Spanish clinic note, and the DCFS placement summary is a secondary synthesis item that strengthens the TB hold rationale and should be credited when present.</w:t>
      </w:r>
    </w:p>
    <w:p w:rsidR="00000000" w:rsidDel="00000000" w:rsidP="00000000" w:rsidRDefault="00000000" w:rsidRPr="00000000" w14:paraId="00000009">
      <w:pPr>
        <w:spacing w:after="40" w:before="40" w:lineRule="auto"/>
        <w:rPr>
          <w:sz w:val="22"/>
          <w:szCs w:val="22"/>
        </w:rPr>
      </w:pPr>
      <w:r w:rsidDel="00000000" w:rsidR="00000000" w:rsidRPr="00000000">
        <w:rPr>
          <w:sz w:val="22"/>
          <w:szCs w:val="22"/>
          <w:rtl w:val="0"/>
        </w:rPr>
        <w:t xml:space="preserve">The supporting documentation must be curated. The model should attach the lapsed original PA, the GI note and hold letter, the CT enterography, current labs, and the IGRA and CXR. A model that attaches everything or only the hold letter has not curated appropriately.</w:t>
      </w:r>
    </w:p>
    <w:p w:rsidR="00000000" w:rsidDel="00000000" w:rsidP="00000000" w:rsidRDefault="00000000" w:rsidRPr="00000000" w14:paraId="0000000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B">
      <w:pPr>
        <w:spacing w:after="40" w:before="40" w:lineRule="auto"/>
        <w:rPr>
          <w:sz w:val="22"/>
          <w:szCs w:val="22"/>
        </w:rPr>
      </w:pPr>
      <w:r w:rsidDel="00000000" w:rsidR="00000000" w:rsidRPr="00000000">
        <w:rPr>
          <w:sz w:val="22"/>
          <w:szCs w:val="22"/>
          <w:rtl w:val="0"/>
        </w:rPr>
        <w:t xml:space="preserve">The prompt asks only for a bulletproof PA request. Score on a gradient that rewards synthesis over file-reading. A model that produces a recognizable PA with correct drug/dose/frequency and the chart-provided K50.x code has met the floor — this is a competent baseline PA but not a high score. A model that also integrates the three-source clinical hold picture (LFT + IGRA + colonoscopy), produces a prospective timeline, and demonstrates administrative awareness (biosimilar preference, HCPCS/J-code, curated attachments) is demonstrating full PA competence and should score highest. The TB exposure chain triangulation across the Guatemala form, Spanish clinic note, and DCFS summary is a high-ceiling synthesis item — models that produce it are going well beyond the prompt. Penalize meaningfully for: producing a clinical summary or referral letter instead of a PA; omitting the medication entirely; identifying only one of the three hold conditions. Do not penalize structural variation.</w:t>
      </w:r>
    </w:p>
    <w:p w:rsidR="00000000" w:rsidDel="00000000" w:rsidP="00000000" w:rsidRDefault="00000000" w:rsidRPr="00000000" w14:paraId="0000000C">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D">
      <w:pPr>
        <w:spacing w:after="40" w:before="40" w:lineRule="auto"/>
        <w:rPr>
          <w:sz w:val="22"/>
          <w:szCs w:val="22"/>
        </w:rPr>
      </w:pPr>
      <w:r w:rsidDel="00000000" w:rsidR="00000000" w:rsidRPr="00000000">
        <w:rPr>
          <w:sz w:val="22"/>
          <w:szCs w:val="22"/>
          <w:rtl w:val="0"/>
        </w:rPr>
        <w:t xml:space="preserve">Specifying biosimilar vs. reference product with awareness of DCFS Medicaid formulary. Including the appropriate HCPCS code (J1745 for reference infliximab, or the corresponding Q-code if a biosimilar is specified). Projecting a specific restart timeline (8–12 weeks). Noting the prior therapy history and documented clinical response. Including the ECCO 2023 rationale for stopping oral iron. Listing the site of service. Note: the biosimilar preference relies on external Medicaid formulary knowledge, not chart-derived information. These reflect administrative thoroughness but their absence alone should not drive a large penalty.</w:t>
      </w:r>
    </w:p>
    <w:p w:rsidR="00000000" w:rsidDel="00000000" w:rsidP="00000000" w:rsidRDefault="00000000" w:rsidRPr="00000000" w14:paraId="0000000E">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use symptom codes (K52.9, R19.8) instead of K50.00 — the diagnosis must match the drug’s approved indications. A model that codes K50.x without any acknowledgment that histologic confirmation is pending has overclaimed — but accept any phrasing that conveys diagnostic uncertainty, not just the word “presumptive.” Omitting diagnosis codes entirely will result in payer return.</w:t>
      </w:r>
    </w:p>
    <w:p w:rsidR="00000000" w:rsidDel="00000000" w:rsidP="00000000" w:rsidRDefault="00000000" w:rsidRPr="00000000" w14:paraId="00000010">
      <w:pPr>
        <w:spacing w:after="40" w:before="40" w:lineRule="auto"/>
        <w:rPr>
          <w:sz w:val="22"/>
          <w:szCs w:val="22"/>
        </w:rPr>
      </w:pPr>
      <w:r w:rsidDel="00000000" w:rsidR="00000000" w:rsidRPr="00000000">
        <w:rPr>
          <w:sz w:val="22"/>
          <w:szCs w:val="22"/>
          <w:rtl w:val="0"/>
        </w:rPr>
        <w:t xml:space="preserve">Models request immediate restart without acknowledging the clinical holds. These conditions are documented across multiple files and the model must synthesize them into a coherent timeline for the payer.</w:t>
      </w:r>
    </w:p>
    <w:p w:rsidR="00000000" w:rsidDel="00000000" w:rsidP="00000000" w:rsidRDefault="00000000" w:rsidRPr="00000000" w14:paraId="00000011">
      <w:pPr>
        <w:spacing w:after="40" w:before="40" w:lineRule="auto"/>
        <w:rPr>
          <w:sz w:val="22"/>
          <w:szCs w:val="22"/>
        </w:rPr>
      </w:pPr>
      <w:r w:rsidDel="00000000" w:rsidR="00000000" w:rsidRPr="00000000">
        <w:rPr>
          <w:sz w:val="22"/>
          <w:szCs w:val="22"/>
          <w:rtl w:val="0"/>
        </w:rPr>
        <w:t xml:space="preserve">Models do not recognize that this is DCFS Foster Care Medicaid. The payer pathway and formulary rules may differ from standard Medicaid, and the PA should reflect awareness of this.</w:t>
      </w:r>
    </w:p>
    <w:p w:rsidR="00000000" w:rsidDel="00000000" w:rsidP="00000000" w:rsidRDefault="00000000" w:rsidRPr="00000000" w14:paraId="00000012">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3">
      <w:pPr>
        <w:spacing w:after="40" w:before="40" w:lineRule="auto"/>
        <w:rPr>
          <w:sz w:val="22"/>
          <w:szCs w:val="22"/>
        </w:rPr>
      </w:pPr>
      <w:r w:rsidDel="00000000" w:rsidR="00000000" w:rsidRPr="00000000">
        <w:rPr>
          <w:sz w:val="22"/>
          <w:szCs w:val="22"/>
          <w:rtl w:val="0"/>
        </w:rPr>
        <w:t xml:space="preserve">Provide a single score between 0–1 with reasoning. Format: &lt;reasoning&gt;...&lt;/reasoning&gt;&lt;score&gt;...&lt;/score&gt;</w:t>
      </w:r>
    </w:p>
    <w:p w:rsidR="00000000" w:rsidDel="00000000" w:rsidP="00000000" w:rsidRDefault="00000000" w:rsidRPr="00000000" w14:paraId="00000014">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15">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6">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17">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8">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19">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A">
      <w:pPr>
        <w:spacing w:after="40" w:before="40" w:lineRule="auto"/>
        <w:rPr>
          <w:b w:val="1"/>
          <w:bCs w:val="1"/>
          <w:sz w:val="22"/>
          <w:szCs w:val="2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QzXBXaJL7hqPtyCA0yq3ykkNg==">CgMxLjA4AHIhMWhYUVpFdUFNMk01dXI3WGROcThUTUpYSGFMNWNWb1lj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