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 w:before="40" w:lineRule="auto"/>
        <w:rPr/>
      </w:pPr>
      <w:r w:rsidDel="00000000" w:rsidR="00000000" w:rsidRPr="00000000">
        <w:rPr>
          <w:b w:val="1"/>
          <w:bCs w:val="1"/>
          <w:sz w:val="26"/>
          <w:szCs w:val="26"/>
          <w:rtl w:val="0"/>
        </w:rPr>
        <w:t xml:space="preserve">CDI Query Report — Marcus D. Whitfield</w:t>
      </w:r>
      <w:r w:rsidDel="00000000" w:rsidR="00000000" w:rsidRPr="00000000">
        <w:rPr>
          <w:rtl w:val="0"/>
        </w:rPr>
      </w:r>
    </w:p>
    <w:p w:rsidR="00000000" w:rsidDel="00000000" w:rsidP="00000000" w:rsidRDefault="00000000" w:rsidRPr="00000000" w14:paraId="00000002">
      <w:pPr>
        <w:spacing w:after="10" w:before="40" w:lineRule="auto"/>
        <w:rPr/>
      </w:pPr>
      <w:r w:rsidDel="00000000" w:rsidR="00000000" w:rsidRPr="00000000">
        <w:rPr>
          <w:sz w:val="20"/>
          <w:szCs w:val="20"/>
          <w:rtl w:val="0"/>
        </w:rPr>
        <w:t xml:space="preserve">PED-2025-04471  |  10-year-old male  |  Admission: 02/26–03/02/2026  |  Review Date: ~03/18/2026</w:t>
      </w:r>
      <w:r w:rsidDel="00000000" w:rsidR="00000000" w:rsidRPr="00000000">
        <w:rPr>
          <w:rtl w:val="0"/>
        </w:rPr>
      </w:r>
    </w:p>
    <w:p w:rsidR="00000000" w:rsidDel="00000000" w:rsidP="00000000" w:rsidRDefault="00000000" w:rsidRPr="00000000" w14:paraId="00000003">
      <w:pPr>
        <w:spacing w:after="80" w:before="40" w:lineRule="auto"/>
        <w:rPr/>
      </w:pPr>
      <w:r w:rsidDel="00000000" w:rsidR="00000000" w:rsidRPr="00000000">
        <w:rPr>
          <w:rtl w:val="0"/>
        </w:rPr>
        <w:t xml:space="preserve">Discharge Summary reviewed against full chart. Queries below target documentation gaps affecting coding accuracy, DRG assignment, or patient safety. Clinical judgment calls are not queried.</w:t>
      </w:r>
    </w:p>
    <w:p w:rsidR="00000000" w:rsidDel="00000000" w:rsidP="00000000" w:rsidRDefault="00000000" w:rsidRPr="00000000" w14:paraId="00000004">
      <w:pPr>
        <w:pBdr>
          <w:bottom w:color="000000" w:space="2" w:sz="4" w:val="single"/>
        </w:pBdr>
        <w:spacing w:after="60" w:before="200" w:lineRule="auto"/>
        <w:rPr/>
      </w:pPr>
      <w:r w:rsidDel="00000000" w:rsidR="00000000" w:rsidRPr="00000000">
        <w:rPr>
          <w:b w:val="1"/>
          <w:bCs w:val="1"/>
          <w:sz w:val="24"/>
          <w:szCs w:val="24"/>
          <w:rtl w:val="0"/>
        </w:rPr>
        <w:t xml:space="preserve">Query 1: Asthma Exacerbation Specificity / Respiratory Failure Type</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b w:val="1"/>
          <w:bCs w:val="1"/>
          <w:rtl w:val="0"/>
        </w:rPr>
        <w:t xml:space="preserve">Documentation Gap: </w:t>
      </w:r>
      <w:r w:rsidDel="00000000" w:rsidR="00000000" w:rsidRPr="00000000">
        <w:rPr>
          <w:rtl w:val="0"/>
        </w:rPr>
        <w:t xml:space="preserve">The discharge summary documents “acute severe asthma exacerbation with respiratory failure” but does not distinguish status asthmaticus (J45.52) from acute exacerbation of severe persistent asthma (J45.51), nor specify the respiratory failure type (hypoxic J96.01 vs hypercapnic J96.02). The patient required intubation and mechanical ventilation, consistent with status asthmaticus. The respiratory failure type (hypoxic vs hypercapnic) affects code specificity.</w:t>
      </w:r>
    </w:p>
    <w:p w:rsidR="00000000" w:rsidDel="00000000" w:rsidP="00000000" w:rsidRDefault="00000000" w:rsidRPr="00000000" w14:paraId="00000006">
      <w:pPr>
        <w:spacing w:after="40" w:before="40" w:lineRule="auto"/>
        <w:rPr/>
      </w:pPr>
      <w:r w:rsidDel="00000000" w:rsidR="00000000" w:rsidRPr="00000000">
        <w:rPr>
          <w:b w:val="1"/>
          <w:bCs w:val="1"/>
          <w:rtl w:val="0"/>
        </w:rPr>
        <w:t xml:space="preserve">Supporting Evidence: </w:t>
      </w:r>
      <w:r w:rsidDel="00000000" w:rsidR="00000000" w:rsidRPr="00000000">
        <w:rPr>
          <w:rtl w:val="0"/>
        </w:rPr>
        <w:t xml:space="preserve">prior_hospitalizations_2022_to_2024.pdf documents three prior intubations. This admission (02/26/2026) was the fourth, requiring intubation and mechanical ventilation.</w:t>
      </w:r>
    </w:p>
    <w:p w:rsidR="00000000" w:rsidDel="00000000" w:rsidP="00000000" w:rsidRDefault="00000000" w:rsidRPr="00000000" w14:paraId="00000007">
      <w:pPr>
        <w:spacing w:after="40" w:before="40" w:lineRule="auto"/>
        <w:rPr/>
      </w:pPr>
      <w:r w:rsidDel="00000000" w:rsidR="00000000" w:rsidRPr="00000000">
        <w:rPr>
          <w:b w:val="1"/>
          <w:bCs w:val="1"/>
          <w:rtl w:val="0"/>
        </w:rPr>
        <w:t xml:space="preserve">Coding Impact: </w:t>
      </w:r>
      <w:r w:rsidDel="00000000" w:rsidR="00000000" w:rsidRPr="00000000">
        <w:rPr>
          <w:rtl w:val="0"/>
        </w:rPr>
        <w:t xml:space="preserve">Status asthmaticus (J45.52) captures higher severity than acute exacerbation (J45.51) and may affect DRG weight. Specifying respiratory failure type (J96.01 hypoxic vs J96.02 hypercapnic) adds code specificity.</w:t>
      </w:r>
    </w:p>
    <w:p w:rsidR="00000000" w:rsidDel="00000000" w:rsidP="00000000" w:rsidRDefault="00000000" w:rsidRPr="00000000" w14:paraId="00000008">
      <w:pPr>
        <w:spacing w:after="40" w:before="40" w:lineRule="auto"/>
        <w:rPr/>
      </w:pPr>
      <w:r w:rsidDel="00000000" w:rsidR="00000000" w:rsidRPr="00000000">
        <w:rPr>
          <w:b w:val="1"/>
          <w:bCs w:val="1"/>
          <w:rtl w:val="0"/>
        </w:rPr>
        <w:t xml:space="preserve">Query: </w:t>
      </w:r>
      <w:r w:rsidDel="00000000" w:rsidR="00000000" w:rsidRPr="00000000">
        <w:rPr>
          <w:rtl w:val="0"/>
        </w:rPr>
        <w:t xml:space="preserve">Dr. [attending]: The patient required intubation during this admission and has a history of three prior intubations. Given intubation and mechanical ventilation, does this admission meet criteria for status asthmaticus (J45.52) rather than acute exacerbation (J45.51)? Can you also specify the respiratory failure type — hypoxic (J96.01) or hypercapnic (J96.02)?</w:t>
      </w:r>
    </w:p>
    <w:p w:rsidR="00000000" w:rsidDel="00000000" w:rsidP="00000000" w:rsidRDefault="00000000" w:rsidRPr="00000000" w14:paraId="00000009">
      <w:pPr>
        <w:pBdr>
          <w:bottom w:color="000000" w:space="2" w:sz="4" w:val="single"/>
        </w:pBdr>
        <w:spacing w:after="60" w:before="200" w:lineRule="auto"/>
        <w:rPr/>
      </w:pPr>
      <w:r w:rsidDel="00000000" w:rsidR="00000000" w:rsidRPr="00000000">
        <w:rPr>
          <w:b w:val="1"/>
          <w:bCs w:val="1"/>
          <w:sz w:val="24"/>
          <w:szCs w:val="24"/>
          <w:rtl w:val="0"/>
        </w:rPr>
        <w:t xml:space="preserve">Query 2: CXR Finding — TB Not Addressed in Discharge Summary</w:t>
      </w: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b w:val="1"/>
          <w:bCs w:val="1"/>
          <w:rtl w:val="0"/>
        </w:rPr>
        <w:t xml:space="preserve">Documentation Gap: </w:t>
      </w:r>
      <w:r w:rsidDel="00000000" w:rsidR="00000000" w:rsidRPr="00000000">
        <w:rPr>
          <w:rtl w:val="0"/>
        </w:rPr>
        <w:t xml:space="preserve">The admission CXR radiology report (02/26/2026) includes primary tuberculosis in the differential diagnosis for a right upper lobe opacity with hilar lymphadenopathy. The discharge summary attributes this finding to “atypical pneumonia” and documents azithromycin treatment, but does not address why TB was excluded from the differential.</w:t>
      </w:r>
    </w:p>
    <w:p w:rsidR="00000000" w:rsidDel="00000000" w:rsidP="00000000" w:rsidRDefault="00000000" w:rsidRPr="00000000" w14:paraId="0000000B">
      <w:pPr>
        <w:spacing w:after="40" w:before="40" w:lineRule="auto"/>
        <w:rPr/>
      </w:pPr>
      <w:r w:rsidDel="00000000" w:rsidR="00000000" w:rsidRPr="00000000">
        <w:rPr>
          <w:b w:val="1"/>
          <w:bCs w:val="1"/>
          <w:rtl w:val="0"/>
        </w:rPr>
        <w:t xml:space="preserve">Supporting Evidence: </w:t>
      </w:r>
      <w:r w:rsidDel="00000000" w:rsidR="00000000" w:rsidRPr="00000000">
        <w:rPr>
          <w:rtl w:val="0"/>
        </w:rPr>
        <w:t xml:space="preserve">chest_xray_report_02_26_2026.pdf: radiology impression explicitly lists primary tuberculosis in the differential. hospital_discharge_summary_03_02_2026.pdf: no mention of TB, no documentation of clinical reasoning for exclusion. igra_quantiferon_03_05_2026.pdf: IGRA returned indeterminate after discharge, suggesting the TB question remained unresolved at the time of discharge.</w:t>
      </w:r>
    </w:p>
    <w:p w:rsidR="00000000" w:rsidDel="00000000" w:rsidP="00000000" w:rsidRDefault="00000000" w:rsidRPr="00000000" w14:paraId="0000000C">
      <w:pPr>
        <w:spacing w:after="40" w:before="40" w:lineRule="auto"/>
        <w:rPr/>
      </w:pPr>
      <w:r w:rsidDel="00000000" w:rsidR="00000000" w:rsidRPr="00000000">
        <w:rPr>
          <w:b w:val="1"/>
          <w:bCs w:val="1"/>
          <w:rtl w:val="0"/>
        </w:rPr>
        <w:t xml:space="preserve">Patient Safety Impact: </w:t>
      </w:r>
      <w:r w:rsidDel="00000000" w:rsidR="00000000" w:rsidRPr="00000000">
        <w:rPr>
          <w:rtl w:val="0"/>
        </w:rPr>
        <w:t xml:space="preserve">If TB was not clinically excluded before discharge, this represents a potential patient safety gap. Documentation of the clinical basis for excluding TB — or acknowledgment that the workup is pending — is needed for both coding accuracy and safety.</w:t>
      </w:r>
    </w:p>
    <w:p w:rsidR="00000000" w:rsidDel="00000000" w:rsidP="00000000" w:rsidRDefault="00000000" w:rsidRPr="00000000" w14:paraId="0000000D">
      <w:pPr>
        <w:spacing w:after="40" w:before="40" w:lineRule="auto"/>
        <w:rPr/>
      </w:pPr>
      <w:r w:rsidDel="00000000" w:rsidR="00000000" w:rsidRPr="00000000">
        <w:rPr>
          <w:b w:val="1"/>
          <w:bCs w:val="1"/>
          <w:rtl w:val="0"/>
        </w:rPr>
        <w:t xml:space="preserve">Query: </w:t>
      </w:r>
      <w:r w:rsidDel="00000000" w:rsidR="00000000" w:rsidRPr="00000000">
        <w:rPr>
          <w:rtl w:val="0"/>
        </w:rPr>
        <w:t xml:space="preserve">Dr. [attending]: The admission CXR radiology report included primary tuberculosis in the differential for the RUL opacity. The discharge summary attributes the finding to atypical pneumonia. Can you document the clinical basis for excluding TB, or clarify whether this workup is still pending at discharge?</w:t>
      </w:r>
    </w:p>
    <w:p w:rsidR="00000000" w:rsidDel="00000000" w:rsidP="00000000" w:rsidRDefault="00000000" w:rsidRPr="00000000" w14:paraId="0000000E">
      <w:pPr>
        <w:pBdr>
          <w:bottom w:color="000000" w:space="2" w:sz="4" w:val="single"/>
        </w:pBdr>
        <w:spacing w:after="60" w:before="200" w:lineRule="auto"/>
        <w:rPr/>
      </w:pPr>
      <w:r w:rsidDel="00000000" w:rsidR="00000000" w:rsidRPr="00000000">
        <w:rPr>
          <w:b w:val="1"/>
          <w:bCs w:val="1"/>
          <w:sz w:val="24"/>
          <w:szCs w:val="24"/>
          <w:rtl w:val="0"/>
        </w:rPr>
        <w:t xml:space="preserve">Query 3: Malnutrition Assessment Not Documented</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b w:val="1"/>
          <w:bCs w:val="1"/>
          <w:rtl w:val="0"/>
        </w:rPr>
        <w:t xml:space="preserve">Documentation Gap: </w:t>
      </w:r>
      <w:r w:rsidDel="00000000" w:rsidR="00000000" w:rsidRPr="00000000">
        <w:rPr>
          <w:rtl w:val="0"/>
        </w:rPr>
        <w:t xml:space="preserve">The patient is underweight (BMI 14.9, weight at 7th percentile) with iron-deficiency anemia (Hgb 10.2, MCV 72) and an active inflammatory condition. No malnutrition screening or assessment is documented in the discharge summary or nursing notes from this admission.</w:t>
      </w:r>
    </w:p>
    <w:p w:rsidR="00000000" w:rsidDel="00000000" w:rsidP="00000000" w:rsidRDefault="00000000" w:rsidRPr="00000000" w14:paraId="00000010">
      <w:pPr>
        <w:spacing w:after="40" w:before="40" w:lineRule="auto"/>
        <w:rPr/>
      </w:pPr>
      <w:r w:rsidDel="00000000" w:rsidR="00000000" w:rsidRPr="00000000">
        <w:rPr>
          <w:b w:val="1"/>
          <w:bCs w:val="1"/>
          <w:rtl w:val="0"/>
        </w:rPr>
        <w:t xml:space="preserve">Supporting Evidence: </w:t>
      </w:r>
      <w:r w:rsidDel="00000000" w:rsidR="00000000" w:rsidRPr="00000000">
        <w:rPr>
          <w:rtl w:val="0"/>
        </w:rPr>
        <w:t xml:space="preserve">Patient weight ~26 kg, BMI 14.9. Labs show Hgb 10.2, MCV 72. Active inflammatory bowel disease (clinically suspected Crohn’s). Growth chart shows height declining from 35th to 10th percentile and weight from 22nd to 7th percentile over 36 months.</w:t>
      </w:r>
    </w:p>
    <w:p w:rsidR="00000000" w:rsidDel="00000000" w:rsidP="00000000" w:rsidRDefault="00000000" w:rsidRPr="00000000" w14:paraId="00000011">
      <w:pPr>
        <w:spacing w:after="40" w:before="40" w:lineRule="auto"/>
        <w:rPr/>
      </w:pPr>
      <w:r w:rsidDel="00000000" w:rsidR="00000000" w:rsidRPr="00000000">
        <w:rPr>
          <w:b w:val="1"/>
          <w:bCs w:val="1"/>
          <w:rtl w:val="0"/>
        </w:rPr>
        <w:t xml:space="preserve">Coding Impact: </w:t>
      </w:r>
      <w:r w:rsidDel="00000000" w:rsidR="00000000" w:rsidRPr="00000000">
        <w:rPr>
          <w:rtl w:val="0"/>
        </w:rPr>
        <w:t xml:space="preserve">Protein-calorie malnutrition, if present and documented, is a complication/comorbidity (CC) or major CC (MCC) that may affect DRG assignment and severity of illness scoring.</w:t>
      </w:r>
    </w:p>
    <w:p w:rsidR="00000000" w:rsidDel="00000000" w:rsidP="00000000" w:rsidRDefault="00000000" w:rsidRPr="00000000" w14:paraId="00000012">
      <w:pPr>
        <w:spacing w:after="40" w:before="40" w:lineRule="auto"/>
        <w:rPr/>
      </w:pPr>
      <w:r w:rsidDel="00000000" w:rsidR="00000000" w:rsidRPr="00000000">
        <w:rPr>
          <w:b w:val="1"/>
          <w:bCs w:val="1"/>
          <w:rtl w:val="0"/>
        </w:rPr>
        <w:t xml:space="preserve">Query: </w:t>
      </w:r>
      <w:r w:rsidDel="00000000" w:rsidR="00000000" w:rsidRPr="00000000">
        <w:rPr>
          <w:rtl w:val="0"/>
        </w:rPr>
        <w:t xml:space="preserve">Dr. [attending]: The patient presents with BMI 14.9 (7th percentile weight), iron-deficiency anemia (Hgb 10.2, MCV 72), and declining growth trajectory in the setting of active inflammatory disease. Was a malnutrition assessment performed during this admission? If so, can the findings be documented? If the patient meets criteria for malnutrition, can the diagnosis and severity be specified?</w:t>
      </w:r>
    </w:p>
    <w:p w:rsidR="00000000" w:rsidDel="00000000" w:rsidP="00000000" w:rsidRDefault="00000000" w:rsidRPr="00000000" w14:paraId="00000013">
      <w:pPr>
        <w:pBdr>
          <w:bottom w:color="000000" w:space="2" w:sz="4" w:val="single"/>
        </w:pBdr>
        <w:spacing w:after="60" w:before="200" w:lineRule="auto"/>
        <w:rPr/>
      </w:pPr>
      <w:r w:rsidDel="00000000" w:rsidR="00000000" w:rsidRPr="00000000">
        <w:rPr>
          <w:b w:val="1"/>
          <w:bCs w:val="1"/>
          <w:sz w:val="24"/>
          <w:szCs w:val="24"/>
          <w:rtl w:val="0"/>
        </w:rPr>
        <w:t xml:space="preserve">Query 4: Risperidone Dose Discrepancy</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b w:val="1"/>
          <w:bCs w:val="1"/>
          <w:rtl w:val="0"/>
        </w:rPr>
        <w:t xml:space="preserve">Documentation Gap: </w:t>
      </w:r>
      <w:r w:rsidDel="00000000" w:rsidR="00000000" w:rsidRPr="00000000">
        <w:rPr>
          <w:rtl w:val="0"/>
        </w:rPr>
        <w:t xml:space="preserve">The discharge summary lists risperidone at 1 mg QHS. The pharmacy fill history and the pill bottle label indicate the prescribed dose is 1.5 mg QHS (1 mg tablets, take 1.5 tablets). The psychiatry note (01/10/2026) also confirms 1.5 mg.</w:t>
      </w:r>
    </w:p>
    <w:p w:rsidR="00000000" w:rsidDel="00000000" w:rsidP="00000000" w:rsidRDefault="00000000" w:rsidRPr="00000000" w14:paraId="00000015">
      <w:pPr>
        <w:spacing w:after="40" w:before="40" w:lineRule="auto"/>
        <w:rPr/>
      </w:pPr>
      <w:r w:rsidDel="00000000" w:rsidR="00000000" w:rsidRPr="00000000">
        <w:rPr>
          <w:b w:val="1"/>
          <w:bCs w:val="1"/>
          <w:rtl w:val="0"/>
        </w:rPr>
        <w:t xml:space="preserve">Supporting Evidence: </w:t>
      </w:r>
      <w:r w:rsidDel="00000000" w:rsidR="00000000" w:rsidRPr="00000000">
        <w:rPr>
          <w:rtl w:val="0"/>
        </w:rPr>
        <w:t xml:space="preserve">pharmacy_records_walgreens_03_15_2026.pdf: risperidone 1.5 mg fills. pill_bottle_photo_03_18_2026.png: label reads “1 mg tablets — take 1.5 tablets.” psychiatry_note_dr_osei_01_10_2026.pdf: risperidone 1.5 mg QHS.</w:t>
      </w:r>
    </w:p>
    <w:p w:rsidR="00000000" w:rsidDel="00000000" w:rsidP="00000000" w:rsidRDefault="00000000" w:rsidRPr="00000000" w14:paraId="00000016">
      <w:pPr>
        <w:spacing w:after="40" w:before="40" w:lineRule="auto"/>
        <w:rPr/>
      </w:pPr>
      <w:r w:rsidDel="00000000" w:rsidR="00000000" w:rsidRPr="00000000">
        <w:rPr>
          <w:b w:val="1"/>
          <w:bCs w:val="1"/>
          <w:rtl w:val="0"/>
        </w:rPr>
        <w:t xml:space="preserve">Patient Safety Impact: </w:t>
      </w:r>
      <w:r w:rsidDel="00000000" w:rsidR="00000000" w:rsidRPr="00000000">
        <w:rPr>
          <w:rtl w:val="0"/>
        </w:rPr>
        <w:t xml:space="preserve">A dose discrepancy in the discharge medication list could lead to underdosing if the next provider uses the discharge summary as the authoritative medication source.</w:t>
      </w:r>
    </w:p>
    <w:p w:rsidR="00000000" w:rsidDel="00000000" w:rsidP="00000000" w:rsidRDefault="00000000" w:rsidRPr="00000000" w14:paraId="00000017">
      <w:pPr>
        <w:spacing w:after="40" w:before="40" w:lineRule="auto"/>
        <w:rPr/>
      </w:pPr>
      <w:r w:rsidDel="00000000" w:rsidR="00000000" w:rsidRPr="00000000">
        <w:rPr>
          <w:b w:val="1"/>
          <w:bCs w:val="1"/>
          <w:rtl w:val="0"/>
        </w:rPr>
        <w:t xml:space="preserve">Query: </w:t>
      </w:r>
      <w:r w:rsidDel="00000000" w:rsidR="00000000" w:rsidRPr="00000000">
        <w:rPr>
          <w:rtl w:val="0"/>
        </w:rPr>
        <w:t xml:space="preserve">Dr. [attending]: The discharge summary lists risperidone at 1 mg QHS, but pharmacy records and the psychiatry note indicate 1.5 mg QHS. Can you verify the correct dose and update the discharge medication list?</w:t>
      </w:r>
    </w:p>
    <w:p w:rsidR="00000000" w:rsidDel="00000000" w:rsidP="00000000" w:rsidRDefault="00000000" w:rsidRPr="00000000" w14:paraId="00000018">
      <w:pPr>
        <w:pBdr>
          <w:bottom w:color="000000" w:space="2" w:sz="4" w:val="single"/>
        </w:pBdr>
        <w:spacing w:after="60" w:before="200" w:lineRule="auto"/>
        <w:rPr/>
      </w:pPr>
      <w:r w:rsidDel="00000000" w:rsidR="00000000" w:rsidRPr="00000000">
        <w:rPr>
          <w:b w:val="1"/>
          <w:bCs w:val="1"/>
          <w:sz w:val="24"/>
          <w:szCs w:val="24"/>
          <w:rtl w:val="0"/>
        </w:rPr>
        <w:t xml:space="preserve">Not Queried — Clinical Judgment (Outside CDI Scope)</w:t>
      </w: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tl w:val="0"/>
        </w:rPr>
        <w:t xml:space="preserve">The following items were identified during chart review but are not queried because they reflect clinical prescribing decisions rather than documentation gaps:</w:t>
      </w:r>
    </w:p>
    <w:p w:rsidR="00000000" w:rsidDel="00000000" w:rsidP="00000000" w:rsidRDefault="00000000" w:rsidRPr="00000000" w14:paraId="0000001A">
      <w:pPr>
        <w:spacing w:after="40" w:before="40" w:lineRule="auto"/>
        <w:rPr/>
      </w:pPr>
      <w:r w:rsidDel="00000000" w:rsidR="00000000" w:rsidRPr="00000000">
        <w:rPr>
          <w:b w:val="1"/>
          <w:bCs w:val="1"/>
          <w:rtl w:val="0"/>
        </w:rPr>
        <w:t xml:space="preserve">Montelukast restart: </w:t>
      </w:r>
      <w:r w:rsidDel="00000000" w:rsidR="00000000" w:rsidRPr="00000000">
        <w:rPr>
          <w:rtl w:val="0"/>
        </w:rPr>
        <w:t xml:space="preserve">The discharge summary documents restarting montelukast in a patient with ASD, PTSD, and prior self-harm history. The FDA boxed warning for neuropsychiatric events applies to this patient’s risk profile. However, the decision to prescribe montelukast is a clinical judgment call — the CDI specialist cannot query a physician’s prescribing decision.</w:t>
      </w:r>
    </w:p>
    <w:p w:rsidR="00000000" w:rsidDel="00000000" w:rsidP="00000000" w:rsidRDefault="00000000" w:rsidRPr="00000000" w14:paraId="0000001B">
      <w:pPr>
        <w:spacing w:after="40" w:before="40" w:lineRule="auto"/>
        <w:rPr/>
      </w:pPr>
      <w:r w:rsidDel="00000000" w:rsidR="00000000" w:rsidRPr="00000000">
        <w:rPr>
          <w:b w:val="1"/>
          <w:bCs w:val="1"/>
          <w:rtl w:val="0"/>
        </w:rPr>
        <w:t xml:space="preserve">Ferrous sulfate in active IBD: </w:t>
      </w:r>
      <w:r w:rsidDel="00000000" w:rsidR="00000000" w:rsidRPr="00000000">
        <w:rPr>
          <w:rtl w:val="0"/>
        </w:rPr>
        <w:t xml:space="preserve">Oral iron was restarted at discharge in a patient with clinically suspected Crohn’s disease, where oral iron is generally contraindicated (ECCO 2023). This is a clinical management decision, not a documentation gap.</w:t>
      </w:r>
    </w:p>
    <w:p w:rsidR="00000000" w:rsidDel="00000000" w:rsidP="00000000" w:rsidRDefault="00000000" w:rsidRPr="00000000" w14:paraId="0000001C">
      <w:pPr>
        <w:spacing w:after="40" w:before="40" w:lineRule="auto"/>
        <w:rPr>
          <w:b w:val="1"/>
          <w:bCs w:val="1"/>
          <w:sz w:val="26"/>
          <w:szCs w:val="26"/>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zGB87yRcgGw27Pg91eCe0Hu1Ig==">CgMxLjA4AHIhMVVSenFnWnBDTVdYcW4wTk1MeHFGMzl6MWFWRXVhelR6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