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pPr>
      <w:r w:rsidDel="00000000" w:rsidR="00000000" w:rsidRPr="00000000">
        <w:rPr>
          <w:b w:val="1"/>
          <w:bCs w:val="1"/>
          <w:sz w:val="26"/>
          <w:szCs w:val="26"/>
          <w:rtl w:val="0"/>
        </w:rPr>
        <w:t xml:space="preserve">GRADER GUIDELINES — TASK 7: CDI QUERY GENERATION</w:t>
      </w:r>
      <w:r w:rsidDel="00000000" w:rsidR="00000000" w:rsidRPr="00000000">
        <w:rPr>
          <w:rtl w:val="0"/>
        </w:rPr>
      </w:r>
    </w:p>
    <w:p w:rsidR="00000000" w:rsidDel="00000000" w:rsidP="00000000" w:rsidRDefault="00000000" w:rsidRPr="00000000" w14:paraId="00000002">
      <w:pPr>
        <w:spacing w:after="120" w:before="40" w:lineRule="auto"/>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t xml:space="preserve">You are reviewing a set of CDI physician queries generated for Marcus Whitfield’s hospitalization (02/26–03/02/2026). The model was asked to review the discharge summary against the rest of the record and produce compliant queries for documentation gaps affecting coding, DRG assignment, or patient safety. The model was explicitly told to only query what is queryable and not to overstep into clinical judgment.</w:t>
      </w:r>
    </w:p>
    <w:p w:rsidR="00000000" w:rsidDel="00000000" w:rsidP="00000000" w:rsidRDefault="00000000" w:rsidRPr="00000000" w14:paraId="00000004">
      <w:pPr>
        <w:pBdr>
          <w:bottom w:color="000000" w:space="2" w:sz="4" w:val="single"/>
        </w:pBdr>
        <w:spacing w:after="60" w:before="200" w:lineRule="auto"/>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t xml:space="preserve">Open World_003_T7_Golden_Response.docx before grading.</w:t>
      </w:r>
    </w:p>
    <w:p w:rsidR="00000000" w:rsidDel="00000000" w:rsidP="00000000" w:rsidRDefault="00000000" w:rsidRPr="00000000" w14:paraId="00000006">
      <w:pPr>
        <w:pBdr>
          <w:bottom w:color="000000" w:space="2" w:sz="4" w:val="single"/>
        </w:pBdr>
        <w:spacing w:after="60" w:before="200" w:lineRule="auto"/>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t xml:space="preserve">The model should produce roughly 3–5 compliant queries. The asthma exacerbation specificity query targets a genuine documentation gap — the discharge summary documents “acute severe asthma exacerbation with respiratory failure” but does not distinguish status asthmaticus (J45.52) from acute exacerbation (J45.51), nor specify the respiratory failure type (hypoxic J96.01 vs hypercapnic J96.02). Given intubation and mechanical ventilation, status asthmaticus and respiratory failure type specification affect DRG weight.</w:t>
      </w:r>
    </w:p>
    <w:p w:rsidR="00000000" w:rsidDel="00000000" w:rsidP="00000000" w:rsidRDefault="00000000" w:rsidRPr="00000000" w14:paraId="00000008">
      <w:pPr>
        <w:spacing w:after="40" w:before="40" w:lineRule="auto"/>
        <w:rPr/>
      </w:pPr>
      <w:r w:rsidDel="00000000" w:rsidR="00000000" w:rsidRPr="00000000">
        <w:rPr>
          <w:rtl w:val="0"/>
        </w:rPr>
        <w:t xml:space="preserve">The CXR-TB discrepancy query is the most clinically significant. Radiology listed TB in the differential; the discharge summary attributes the finding to atypical pneumonia with no documentation of why TB was excluded. This is both a coding query and a patient safety query. The malnutrition query tests whether the model recognizes that clinical indicators are present (BMI 14.9, iron-deficiency anemia, declining growth) but no assessment was documented — this is a CC/MCC opportunity. The risperidone dose discrepancy (1 mg vs. 1.5 mg) is queryable as a documentation accuracy and patient safety issue.</w:t>
      </w:r>
    </w:p>
    <w:p w:rsidR="00000000" w:rsidDel="00000000" w:rsidP="00000000" w:rsidRDefault="00000000" w:rsidRPr="00000000" w14:paraId="00000009">
      <w:pPr>
        <w:spacing w:after="40" w:before="40" w:lineRule="auto"/>
        <w:rPr/>
      </w:pPr>
      <w:r w:rsidDel="00000000" w:rsidR="00000000" w:rsidRPr="00000000">
        <w:rPr>
          <w:rtl w:val="0"/>
        </w:rPr>
        <w:t xml:space="preserve">The model must demonstrate that it understands the boundary between documentation gaps (queryable) and clinical judgment (not queryable). The montelukast restart and ferrous sulfate restart are clinical prescribing decisions — even though both are arguably wrong, the CDI specialist cannot query a physician’s prescribing choice. A model that produces queries challenging these decisions has overstepped the CDI role.</w:t>
      </w:r>
    </w:p>
    <w:p w:rsidR="00000000" w:rsidDel="00000000" w:rsidP="00000000" w:rsidRDefault="00000000" w:rsidRPr="00000000" w14:paraId="0000000A">
      <w:pPr>
        <w:pBdr>
          <w:bottom w:color="000000" w:space="2" w:sz="4" w:val="single"/>
        </w:pBdr>
        <w:spacing w:after="60" w:before="200" w:lineRule="auto"/>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t xml:space="preserve">The output should be recognizable as CDI physician queries. Each query should cite the documentation gap, reference supporting evidence from the chart, and note the coding or safety impact. Penalize meaningfully for: producing a clinical peer review instead of CDI queries; querying clinical decisions rather than documentation gaps; generating 6–10 queries targeting every disagreeable finding. Do not penalize structural variation in how queries are formatted.</w:t>
      </w:r>
    </w:p>
    <w:p w:rsidR="00000000" w:rsidDel="00000000" w:rsidP="00000000" w:rsidRDefault="00000000" w:rsidRPr="00000000" w14:paraId="0000000C">
      <w:pPr>
        <w:pBdr>
          <w:bottom w:color="000000" w:space="2" w:sz="4" w:val="single"/>
        </w:pBdr>
        <w:spacing w:after="60" w:before="200" w:lineRule="auto"/>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t xml:space="preserve">Explicitly identifying montelukast and ferrous sulfate as outside CDI scope while noting them as clinical concerns. Citing specific ICD-10 codes (J45.51) and explaining DRG impact. Referencing the IGRA result as evidence that the TB question was unresolved at discharge. Including a “Not Queried” section that demonstrates role discipline. Suggesting specific malnutrition severity classification rather than just flagging the gap.</w:t>
      </w:r>
    </w:p>
    <w:p w:rsidR="00000000" w:rsidDel="00000000" w:rsidP="00000000" w:rsidRDefault="00000000" w:rsidRPr="00000000" w14:paraId="0000000E">
      <w:pPr>
        <w:pBdr>
          <w:bottom w:color="000000" w:space="2" w:sz="4" w:val="single"/>
        </w:pBdr>
        <w:spacing w:after="60" w:before="200" w:lineRule="auto"/>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tl w:val="0"/>
        </w:rPr>
        <w:t xml:space="preserve">Models produce queries that challenge clinical decisions rather than documentation gaps. A model that generates queries about the montelukast restart or ferrous sulfate prescribing has confused CDI with clinical peer review. The CDI specialist evaluates whether documentation accurately reflects the clinical picture for coding purposes — not whether clinical decisions were correct.</w:t>
      </w:r>
    </w:p>
    <w:p w:rsidR="00000000" w:rsidDel="00000000" w:rsidP="00000000" w:rsidRDefault="00000000" w:rsidRPr="00000000" w14:paraId="00000010">
      <w:pPr>
        <w:spacing w:after="40" w:before="40" w:lineRule="auto"/>
        <w:rPr/>
      </w:pPr>
      <w:r w:rsidDel="00000000" w:rsidR="00000000" w:rsidRPr="00000000">
        <w:rPr>
          <w:rtl w:val="0"/>
        </w:rPr>
        <w:t xml:space="preserve">Models miss the asthma exacerbation specificity query. The discharge summary does document severity (“severe”), but does not distinguish status asthmaticus from acute exacerbation or specify respiratory failure type — these are the actual documentation gaps.</w:t>
      </w:r>
    </w:p>
    <w:p w:rsidR="00000000" w:rsidDel="00000000" w:rsidP="00000000" w:rsidRDefault="00000000" w:rsidRPr="00000000" w14:paraId="00000011">
      <w:pPr>
        <w:spacing w:after="40" w:before="40" w:lineRule="auto"/>
        <w:rPr/>
      </w:pPr>
      <w:r w:rsidDel="00000000" w:rsidR="00000000" w:rsidRPr="00000000">
        <w:rPr>
          <w:rtl w:val="0"/>
        </w:rPr>
        <w:t xml:space="preserve">Models miss the CXR-TB discrepancy. A model that queries malnutrition and asthma severity but does not notice the radiology-discharge mismatch has done routine CDI work without catching the most consequential finding.</w:t>
      </w:r>
    </w:p>
    <w:p w:rsidR="00000000" w:rsidDel="00000000" w:rsidP="00000000" w:rsidRDefault="00000000" w:rsidRPr="00000000" w14:paraId="00000012">
      <w:pPr>
        <w:pBdr>
          <w:bottom w:color="000000" w:space="2" w:sz="4" w:val="single"/>
        </w:pBdr>
        <w:spacing w:after="60" w:before="200" w:lineRule="auto"/>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t xml:space="preserve">Provide a single score between 0–1 with reasoning. Format: &lt;reasoning&gt;...&lt;/reasoning&gt;&lt;score&gt;...&lt;/score&gt;</w:t>
      </w:r>
    </w:p>
    <w:p w:rsidR="00000000" w:rsidDel="00000000" w:rsidP="00000000" w:rsidRDefault="00000000" w:rsidRPr="00000000" w14:paraId="00000014">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gYkyT7/uEnLxDOAiTaUZJ49vw==">CgMxLjA4AHIhMTNLZHFaVFRPdi1sUU5sU0xIZ3NPOVFTeGVpUWktakYz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