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before="40" w:lineRule="auto"/>
        <w:rPr/>
      </w:pPr>
      <w:r w:rsidDel="00000000" w:rsidR="00000000" w:rsidRPr="00000000">
        <w:rPr>
          <w:b w:val="1"/>
          <w:bCs w:val="1"/>
          <w:sz w:val="26"/>
          <w:szCs w:val="26"/>
          <w:rtl w:val="0"/>
        </w:rPr>
        <w:t xml:space="preserve">GRADER GUIDELINES — TASK 8: COMPREHENSIVE MEDICATION REVIEW</w:t>
      </w:r>
      <w:r w:rsidDel="00000000" w:rsidR="00000000" w:rsidRPr="00000000">
        <w:rPr>
          <w:rtl w:val="0"/>
        </w:rPr>
      </w:r>
    </w:p>
    <w:p w:rsidR="00000000" w:rsidDel="00000000" w:rsidP="00000000" w:rsidRDefault="00000000" w:rsidRPr="00000000" w14:paraId="00000002">
      <w:pPr>
        <w:spacing w:after="120" w:before="40" w:lineRule="auto"/>
        <w:rPr/>
      </w:pPr>
      <w:r w:rsidDel="00000000" w:rsidR="00000000" w:rsidRPr="00000000">
        <w:rPr>
          <w:sz w:val="20"/>
          <w:szCs w:val="20"/>
          <w:rtl w:val="0"/>
        </w:rPr>
        <w:t xml:space="preserve">Marcus D. Whitfield  |  PED-2025-04471  |  10-year-old male</w:t>
      </w:r>
      <w:r w:rsidDel="00000000" w:rsidR="00000000" w:rsidRPr="00000000">
        <w:rPr>
          <w:rtl w:val="0"/>
        </w:rPr>
      </w:r>
    </w:p>
    <w:p w:rsidR="00000000" w:rsidDel="00000000" w:rsidP="00000000" w:rsidRDefault="00000000" w:rsidRPr="00000000" w14:paraId="00000003">
      <w:pPr>
        <w:spacing w:after="40" w:before="40" w:lineRule="auto"/>
        <w:rPr/>
      </w:pPr>
      <w:r w:rsidDel="00000000" w:rsidR="00000000" w:rsidRPr="00000000">
        <w:rPr>
          <w:rtl w:val="0"/>
        </w:rPr>
        <w:t xml:space="preserve">You are reviewing a comprehensive medication therapy assessment for Marcus Whitfield, a 10-year-old male in foster care with 10 active chronic conditions and medications from 3 independent prescribers who do not communicate. The prompt asked the model to perform a comprehensive medication review using the attached chart. It did not specify deliverables (PMR, MRP list, MAP) — a model that produces the standard CMR triad is demonstrating domain competence beyond the prompt.</w:t>
      </w:r>
    </w:p>
    <w:p w:rsidR="00000000" w:rsidDel="00000000" w:rsidP="00000000" w:rsidRDefault="00000000" w:rsidRPr="00000000" w14:paraId="00000004">
      <w:pPr>
        <w:pBdr>
          <w:bottom w:color="000000" w:space="2" w:sz="4" w:val="single"/>
        </w:pBdr>
        <w:spacing w:after="60" w:before="200" w:lineRule="auto"/>
        <w:rPr/>
      </w:pPr>
      <w:r w:rsidDel="00000000" w:rsidR="00000000" w:rsidRPr="00000000">
        <w:rPr>
          <w:b w:val="1"/>
          <w:bCs w:val="1"/>
          <w:sz w:val="24"/>
          <w:szCs w:val="24"/>
          <w:rtl w:val="0"/>
        </w:rPr>
        <w:t xml:space="preserve">GOLDEN REFERENCE</w:t>
      </w: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rtl w:val="0"/>
        </w:rPr>
        <w:t xml:space="preserve">Open World_003_T8_Golden_Response.docx before grading.</w:t>
      </w:r>
    </w:p>
    <w:p w:rsidR="00000000" w:rsidDel="00000000" w:rsidP="00000000" w:rsidRDefault="00000000" w:rsidRPr="00000000" w14:paraId="00000006">
      <w:pPr>
        <w:pBdr>
          <w:bottom w:color="000000" w:space="2" w:sz="4" w:val="single"/>
        </w:pBdr>
        <w:spacing w:after="60" w:before="200" w:lineRule="auto"/>
        <w:rPr/>
      </w:pPr>
      <w:r w:rsidDel="00000000" w:rsidR="00000000" w:rsidRPr="00000000">
        <w:rPr>
          <w:b w:val="1"/>
          <w:bCs w:val="1"/>
          <w:sz w:val="24"/>
          <w:szCs w:val="24"/>
          <w:rtl w:val="0"/>
        </w:rPr>
        <w:t xml:space="preserve">A) CLINICAL ACCURACY — MUST BE PRESENT AND CORRECT</w:t>
      </w:r>
      <w:r w:rsidDel="00000000" w:rsidR="00000000" w:rsidRPr="00000000">
        <w:rPr>
          <w:rtl w:val="0"/>
        </w:rPr>
      </w:r>
    </w:p>
    <w:p w:rsidR="00000000" w:rsidDel="00000000" w:rsidP="00000000" w:rsidRDefault="00000000" w:rsidRPr="00000000" w14:paraId="00000007">
      <w:pPr>
        <w:spacing w:after="40" w:before="40" w:lineRule="auto"/>
        <w:rPr/>
      </w:pPr>
      <w:r w:rsidDel="00000000" w:rsidR="00000000" w:rsidRPr="00000000">
        <w:rPr>
          <w:rtl w:val="0"/>
        </w:rPr>
        <w:t xml:space="preserve">The additive hypotension from risperidone + clonidine is a baseline finding, not a synthesis discriminator — the ED note (01/22/2026) states the conclusion directly: “Hypotension (BP 88/54) — likely medication-related in the setting of clonidine and risperidone use.” A model that reads this file will reproduce this finding. Identifying it is required; missing it reflects a file-reading failure, not a reasoning one. What distinguishes competence is the follow-up: does the model then recognize the clonidine fill-gap (last fill 11/10/2025, four-month gap through intake) as a restart-safety problem — if Marcus has not been taking clonidine recently, restarting at full dose risks excessive additive hypotension. That synthesis crosses pharmacy records, the foster parent log, and the psychiatry note, and is not stated in any single file.</w:t>
      </w:r>
    </w:p>
    <w:p w:rsidR="00000000" w:rsidDel="00000000" w:rsidP="00000000" w:rsidRDefault="00000000" w:rsidRPr="00000000" w14:paraId="00000008">
      <w:pPr>
        <w:spacing w:after="40" w:before="40" w:lineRule="auto"/>
        <w:rPr/>
      </w:pPr>
      <w:r w:rsidDel="00000000" w:rsidR="00000000" w:rsidRPr="00000000">
        <w:rPr>
          <w:rtl w:val="0"/>
        </w:rPr>
        <w:t xml:space="preserve">The incomplete ADA/APA metabolic monitoring for risperidone is similarly stated — the chart contains a pre-filled checklist (ada_aap_monitoring_checklist_03_18_2026.pdf) labeling missing parameters as “Not documented” or “Not ordered,” and the endocrinology note reinforces that the protocol has not been followed. Identifying this is required but reflects file-reading, not regimen-level reasoning. Competence is demonstrated when the model connects the monitoring gap to concrete findings in this patient: HbA1c 5.7% and dyslipidemia (LDL 118, HDL 38, TG 142) are exactly the metabolic syndrome signals the protocol is designed to catch, and they have been present for six months without action. A model that names the gap without linking it to these values has transcribed; a model that links them has synthesized.</w:t>
      </w:r>
    </w:p>
    <w:p w:rsidR="00000000" w:rsidDel="00000000" w:rsidP="00000000" w:rsidRDefault="00000000" w:rsidRPr="00000000" w14:paraId="00000009">
      <w:pPr>
        <w:spacing w:after="40" w:before="40" w:lineRule="auto"/>
        <w:rPr/>
      </w:pPr>
      <w:r w:rsidDel="00000000" w:rsidR="00000000" w:rsidRPr="00000000">
        <w:rPr>
          <w:rtl w:val="0"/>
        </w:rPr>
        <w:t xml:space="preserve">The methylphenidate-growth trade-off is stated in the developmental pediatrics note (Assessment #3: “Growth decline in the setting of stimulant treatment…”) — again, a file-reading requirement rather than a synthesis discriminator. What raises the ceiling is integrating the multi-factorial context: growth decline is driven by stimulant appetite suppression, underlying Crohn’s disease with malabsorption, FASD, and psychosocial deprivation. A model that identifies only stimulant effect has read one note; a model that names the multi-factorial picture and flags the unresolved drug-holiday decision (discussed 09/15/2025, never decided) has synthesized across files.</w:t>
      </w:r>
    </w:p>
    <w:p w:rsidR="00000000" w:rsidDel="00000000" w:rsidP="00000000" w:rsidRDefault="00000000" w:rsidRPr="00000000" w14:paraId="0000000A">
      <w:pPr>
        <w:spacing w:after="40" w:before="40" w:lineRule="auto"/>
        <w:rPr/>
      </w:pPr>
      <w:r w:rsidDel="00000000" w:rsidR="00000000" w:rsidRPr="00000000">
        <w:rPr>
          <w:rtl w:val="0"/>
        </w:rPr>
        <w:t xml:space="preserve">The prescriber non-communication problem is primed by the prompt itself (“his medications from multiple prescribers... I don’t think anyone has reviewed the full picture”), so naming it is baseline responsiveness to the prompt. What demonstrates competence is specifying the concrete cross-prescriber failures the non-communication has produced: Dr. Osei requesting a risperidone dose increase without awareness of elevated LFTs; Dr. Patel holding infliximab for LFTs without considering risperidone as a co-contributor; Dr. Liang discussing stimulant drug holidays without metabolic or growth-trajectory context from the other prescribers. A model that produces specific failure examples has demonstrated regimen-level reasoning; a model that asserts the general problem without examples has restated the prompt.</w:t>
      </w:r>
    </w:p>
    <w:p w:rsidR="00000000" w:rsidDel="00000000" w:rsidP="00000000" w:rsidRDefault="00000000" w:rsidRPr="00000000" w14:paraId="0000000B">
      <w:pPr>
        <w:pBdr>
          <w:bottom w:color="000000" w:space="2" w:sz="4" w:val="single"/>
        </w:pBdr>
        <w:spacing w:after="60" w:before="200" w:lineRule="auto"/>
        <w:rPr/>
      </w:pPr>
      <w:r w:rsidDel="00000000" w:rsidR="00000000" w:rsidRPr="00000000">
        <w:rPr>
          <w:b w:val="1"/>
          <w:bCs w:val="1"/>
          <w:sz w:val="24"/>
          <w:szCs w:val="24"/>
          <w:rtl w:val="0"/>
        </w:rPr>
        <w:t xml:space="preserve">B) SCOPE AND FORMAT</w:t>
      </w:r>
      <w:r w:rsidDel="00000000" w:rsidR="00000000" w:rsidRPr="00000000">
        <w:rPr>
          <w:rtl w:val="0"/>
        </w:rPr>
      </w:r>
    </w:p>
    <w:p w:rsidR="00000000" w:rsidDel="00000000" w:rsidP="00000000" w:rsidRDefault="00000000" w:rsidRPr="00000000" w14:paraId="0000000C">
      <w:pPr>
        <w:spacing w:after="40" w:before="40" w:lineRule="auto"/>
        <w:rPr/>
      </w:pPr>
      <w:r w:rsidDel="00000000" w:rsidR="00000000" w:rsidRPr="00000000">
        <w:rPr>
          <w:rtl w:val="0"/>
        </w:rPr>
        <w:t xml:space="preserve">The prompt asks only for a comprehensive medication review. The CMS/APhA CMR standard includes a Personal Medication Record (PMR), identification of medication-related problems (MRP), and a Medication Action Plan (MAP). A model that produces this triad without being explicitly told demonstrates domain competence and should score higher than one that produces a narrative review without the structured CMR format. Within the output, score on a gradient that rewards genuine synthesis over file-transcription. A model that names the four stated findings (hypotension, metabolic monitoring, growth-stimulant, prescriber coordination) has met the floor — each of these is stated directly in a single file or primed by the prompt. A model that also integrates the synthesis items — the clonidine fill-gap restart-safety chain, the metabolic monitoring gap linked to actual patient values, the multi-factorial growth picture, and specific cross-prescriber failure examples — is demonstrating regimen-level reasoning. Additional high-ceiling findings not stated in any single file include: Symbicort 160/4.5 off-label considerations for age, fluoxetine ghost-medication as a CYP2D6 risk signal (listed by Dr. Sharma, never filled, risperidone is a CYP2D6 substrate), and the dual-hepatotoxin attribution problem (risperidone + infliximab). Penalize meaningfully for: medication-by-medication summaries without cross-medication analysis; omitting actionable recommendations entirely. Do not penalize structural variation.</w:t>
      </w:r>
    </w:p>
    <w:p w:rsidR="00000000" w:rsidDel="00000000" w:rsidP="00000000" w:rsidRDefault="00000000" w:rsidRPr="00000000" w14:paraId="0000000D">
      <w:pPr>
        <w:pBdr>
          <w:bottom w:color="000000" w:space="2" w:sz="4" w:val="single"/>
        </w:pBdr>
        <w:spacing w:after="60" w:before="200" w:lineRule="auto"/>
        <w:rPr/>
      </w:pPr>
      <w:r w:rsidDel="00000000" w:rsidR="00000000" w:rsidRPr="00000000">
        <w:rPr>
          <w:b w:val="1"/>
          <w:bCs w:val="1"/>
          <w:sz w:val="24"/>
          <w:szCs w:val="24"/>
          <w:rtl w:val="0"/>
        </w:rPr>
        <w:t xml:space="preserve">C) GOOD PRACTICE — SHOWN IN GOLDEN ANSWER, NOT REQUIRED</w:t>
      </w:r>
      <w:r w:rsidDel="00000000" w:rsidR="00000000" w:rsidRPr="00000000">
        <w:rPr>
          <w:rtl w:val="0"/>
        </w:rPr>
      </w:r>
    </w:p>
    <w:p w:rsidR="00000000" w:rsidDel="00000000" w:rsidP="00000000" w:rsidRDefault="00000000" w:rsidRPr="00000000" w14:paraId="0000000E">
      <w:pPr>
        <w:spacing w:after="40" w:before="40" w:lineRule="auto"/>
        <w:rPr/>
      </w:pPr>
      <w:sdt>
        <w:sdtPr>
          <w:id w:val="1881700254"/>
          <w:tag w:val="goog_rdk_0"/>
        </w:sdtPr>
        <w:sdtContent>
          <w:r w:rsidDel="00000000" w:rsidR="00000000" w:rsidRPr="00000000">
            <w:rPr>
              <w:rFonts w:ascii="Arial Unicode MS" w:cs="Arial Unicode MS" w:eastAsia="Arial Unicode MS" w:hAnsi="Arial Unicode MS"/>
              <w:rtl w:val="0"/>
            </w:rPr>
            <w:t xml:space="preserve">Identifying the Symbicort 160/4.5 mcg dose as off-label for a 10-year-old (FDA-approved for ≥12 years) and flagging it for pulmonology review. Noting the dual hepatotoxic agents (risperidone + infliximab) without baseline LFTs. Identifying melatonin’s additive sedative effects with risperidone and clonidine. Noting fish oil’s platelet function effects in a child with active IBD and potential GI bleeding risk. Identifying the fluoxetine CYP2D6 interaction risk with risperidone if another provider acts on the ghost medication. Framing the clonidine fill gap as a restart safety concern rather than just a reconciliation item. Including responsible parties and timelines in the action plan.</w:t>
          </w:r>
        </w:sdtContent>
      </w:sdt>
    </w:p>
    <w:p w:rsidR="00000000" w:rsidDel="00000000" w:rsidP="00000000" w:rsidRDefault="00000000" w:rsidRPr="00000000" w14:paraId="0000000F">
      <w:pPr>
        <w:pBdr>
          <w:bottom w:color="000000" w:space="2" w:sz="4" w:val="single"/>
        </w:pBdr>
        <w:spacing w:after="60" w:before="200" w:lineRule="auto"/>
        <w:rPr/>
      </w:pPr>
      <w:r w:rsidDel="00000000" w:rsidR="00000000" w:rsidRPr="00000000">
        <w:rPr>
          <w:b w:val="1"/>
          <w:bCs w:val="1"/>
          <w:sz w:val="24"/>
          <w:szCs w:val="24"/>
          <w:rtl w:val="0"/>
        </w:rPr>
        <w:t xml:space="preserve">D) KNOWN ERRORS — PENALIZE FOR</w:t>
      </w:r>
      <w:r w:rsidDel="00000000" w:rsidR="00000000" w:rsidRPr="00000000">
        <w:rPr>
          <w:rtl w:val="0"/>
        </w:rPr>
      </w:r>
    </w:p>
    <w:p w:rsidR="00000000" w:rsidDel="00000000" w:rsidP="00000000" w:rsidRDefault="00000000" w:rsidRPr="00000000" w14:paraId="00000010">
      <w:pPr>
        <w:spacing w:after="40" w:before="40" w:lineRule="auto"/>
        <w:rPr/>
      </w:pPr>
      <w:r w:rsidDel="00000000" w:rsidR="00000000" w:rsidRPr="00000000">
        <w:rPr>
          <w:rtl w:val="0"/>
        </w:rPr>
        <w:t xml:space="preserve">Models evaluate each medication in isolation. A comprehensive therapy review requires assessing the regimen as a whole — interactions, cumulative side effects, monitoring gaps across prescribers, and therapeutic trade-offs. A model that produces a medication-by-medication summary without cross-medication analysis has produced a drug information sheet, not a therapy review.</w:t>
      </w:r>
    </w:p>
    <w:p w:rsidR="00000000" w:rsidDel="00000000" w:rsidP="00000000" w:rsidRDefault="00000000" w:rsidRPr="00000000" w14:paraId="00000011">
      <w:pPr>
        <w:spacing w:after="40" w:before="40" w:lineRule="auto"/>
        <w:rPr/>
      </w:pPr>
      <w:r w:rsidDel="00000000" w:rsidR="00000000" w:rsidRPr="00000000">
        <w:rPr>
          <w:rtl w:val="0"/>
        </w:rPr>
        <w:t xml:space="preserve">Models accept all current doses as appropriate without checking against weight-based guidelines, age-based FDA approvals, monitoring protocols, or clinical context. The dose being within a published range does not make it appropriate for this patient.</w:t>
      </w:r>
    </w:p>
    <w:p w:rsidR="00000000" w:rsidDel="00000000" w:rsidP="00000000" w:rsidRDefault="00000000" w:rsidRPr="00000000" w14:paraId="00000012">
      <w:pPr>
        <w:spacing w:after="40" w:before="40" w:lineRule="auto"/>
        <w:rPr/>
      </w:pPr>
      <w:r w:rsidDel="00000000" w:rsidR="00000000" w:rsidRPr="00000000">
        <w:rPr>
          <w:rtl w:val="0"/>
        </w:rPr>
        <w:t xml:space="preserve">Models omit the prescriber coordination gap. A therapy review that does not identify how three non-communicating prescribers created the current medication safety landscape has missed the systemic root cause.</w:t>
      </w:r>
    </w:p>
    <w:p w:rsidR="00000000" w:rsidDel="00000000" w:rsidP="00000000" w:rsidRDefault="00000000" w:rsidRPr="00000000" w14:paraId="00000013">
      <w:pPr>
        <w:pBdr>
          <w:bottom w:color="000000" w:space="2" w:sz="4" w:val="single"/>
        </w:pBdr>
        <w:spacing w:after="60" w:before="200" w:lineRule="auto"/>
        <w:rPr/>
      </w:pPr>
      <w:r w:rsidDel="00000000" w:rsidR="00000000" w:rsidRPr="00000000">
        <w:rPr>
          <w:b w:val="1"/>
          <w:bCs w:val="1"/>
          <w:sz w:val="24"/>
          <w:szCs w:val="24"/>
          <w:rtl w:val="0"/>
        </w:rPr>
        <w:t xml:space="preserve">SCORING</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rtl w:val="0"/>
        </w:rPr>
        <w:t xml:space="preserve">Provide a single score between 0–1 with reasoning. Format: &lt;reasoning&gt;...&lt;/reasoning&gt;&lt;score&gt;...&lt;/score&gt;</w:t>
      </w:r>
    </w:p>
    <w:p w:rsidR="00000000" w:rsidDel="00000000" w:rsidP="00000000" w:rsidRDefault="00000000" w:rsidRPr="00000000" w14:paraId="00000015">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6">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7">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8">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9">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A">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B">
      <w:pPr>
        <w:spacing w:after="40" w:before="40" w:lineRule="auto"/>
        <w:rPr>
          <w:b w:val="1"/>
          <w:bCs w:val="1"/>
          <w:sz w:val="26"/>
          <w:szCs w:val="26"/>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UhHx0GMr5dr+N14BwrbwccEu1g==">CgMxLjAaHQoBMBIYChYIB0ISEhBBcmlhbCBVbmljb2RlIE1TOAByITFOX0JxWHlQRGRNSEFtVk16M2drV3J1RGNBRE5iRFRpMg==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