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Specialist Referral Packages — Marcus D. Whitfield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before="40" w:lineRule="auto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PED-2025-04471  |  10-year-old male  |  03/18/2026  |  Referring: [PCP]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Priority: </w:t>
      </w:r>
      <w:r w:rsidDel="00000000" w:rsidR="00000000" w:rsidRPr="00000000">
        <w:rPr>
          <w:sz w:val="22"/>
          <w:szCs w:val="22"/>
          <w:rtl w:val="0"/>
        </w:rPr>
        <w:t xml:space="preserve">(1) ID — Urgent/72h: active TB workup in immunosuppressed child, must resolve before any other interventions. (2) GI — Semi-urgent/2wk: unmanaged Crohn’s, but colonoscopy depends on ID clearance. (3) Genetics/Neuro — Routine/4–6wk: NF1 surveillance, no immediate physiologic threat.</w:t>
      </w:r>
    </w:p>
    <w:p w:rsidR="00000000" w:rsidDel="00000000" w:rsidP="00000000" w:rsidRDefault="00000000" w:rsidRPr="00000000" w14:paraId="00000004">
      <w:pPr>
        <w:spacing w:after="8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Current Medications (all letters): </w:t>
      </w:r>
      <w:r w:rsidDel="00000000" w:rsidR="00000000" w:rsidRPr="00000000">
        <w:rPr>
          <w:sz w:val="22"/>
          <w:szCs w:val="22"/>
          <w:rtl w:val="0"/>
        </w:rPr>
        <w:t xml:space="preserve">Risperidone 1.5 mg QHS, methylphenidate ER 27 mg QAM, clonidine 0.1 mg QHS, Symbicort 160/4.5 BID, albuterol PRN, MiraLAX 17g daily. Stopped today: montelukast, ferrous sulfate. On hold: infliximab.</w:t>
      </w:r>
    </w:p>
    <w:p w:rsidR="00000000" w:rsidDel="00000000" w:rsidP="00000000" w:rsidRDefault="00000000" w:rsidRPr="00000000" w14:paraId="00000005">
      <w:pPr>
        <w:pBdr>
          <w:bottom w:color="000000" w:space="2" w:sz="4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Referral 1: Pediatric Infectious Disease — URGENT (72h)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Indication: </w:t>
      </w:r>
      <w:r w:rsidDel="00000000" w:rsidR="00000000" w:rsidRPr="00000000">
        <w:rPr>
          <w:sz w:val="22"/>
          <w:szCs w:val="22"/>
          <w:rtl w:val="0"/>
        </w:rPr>
        <w:t xml:space="preserve">Possible TB exposure in immunosuppressed child. Three-source exposure chain: (1) Guatemalan immigration form — maternal TB treatment 2009–2010, incomplete. (2) Spanish clinic note (05/2017) — infant with possible TB exposure from mother. (3) DCFS summary — ‘condición pulmonar, tratamiento 6 meses.’ IGRA (03/05/2026): indeterminate. CXR (02/26/2026): RUL opacity + hilar LAD, TB in differential. No workup done during hospitalization.</w:t>
      </w:r>
    </w:p>
    <w:p w:rsidR="00000000" w:rsidDel="00000000" w:rsidP="00000000" w:rsidRDefault="00000000" w:rsidRPr="00000000" w14:paraId="00000007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Medication Alert: </w:t>
      </w:r>
      <w:r w:rsidDel="00000000" w:rsidR="00000000" w:rsidRPr="00000000">
        <w:rPr>
          <w:sz w:val="22"/>
          <w:szCs w:val="22"/>
          <w:rtl w:val="0"/>
        </w:rPr>
        <w:t xml:space="preserve">Patient is on risperidone 1.5 mg QHS. Rifampin significantly reduces risperidone levels via CYP3A4/P-gp induction. Please plan isoniazid-based regimen if LTBI treatment indicated. Psychiatry co-management recommended if rifamycin-based regimen is unavoidable. Prior infliximab exposure (~07/2025–01/2026) may have contributed to indeterminate IGRA.</w:t>
      </w:r>
    </w:p>
    <w:p w:rsidR="00000000" w:rsidDel="00000000" w:rsidP="00000000" w:rsidRDefault="00000000" w:rsidRPr="00000000" w14:paraId="00000008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 Question: </w:t>
      </w:r>
      <w:r w:rsidDel="00000000" w:rsidR="00000000" w:rsidRPr="00000000">
        <w:rPr>
          <w:sz w:val="22"/>
          <w:szCs w:val="22"/>
          <w:rtl w:val="0"/>
        </w:rPr>
        <w:t xml:space="preserve">Does this child require treatment for latent or active TB given the three-source maternal exposure, indeterminate IGRA, and unresolved RUL infiltrate? If treatment indicated, please recommend a non-rifamycin regimen given the risperidone interaction.</w:t>
      </w:r>
    </w:p>
    <w:p w:rsidR="00000000" w:rsidDel="00000000" w:rsidP="00000000" w:rsidRDefault="00000000" w:rsidRPr="00000000" w14:paraId="00000009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Cross-Dependency: </w:t>
      </w:r>
      <w:r w:rsidDel="00000000" w:rsidR="00000000" w:rsidRPr="00000000">
        <w:rPr>
          <w:sz w:val="22"/>
          <w:szCs w:val="22"/>
          <w:rtl w:val="0"/>
        </w:rPr>
        <w:t xml:space="preserve">GI referral (colonoscopy + infliximab restart) is contingent on ID clearance.</w:t>
      </w:r>
    </w:p>
    <w:p w:rsidR="00000000" w:rsidDel="00000000" w:rsidP="00000000" w:rsidRDefault="00000000" w:rsidRPr="00000000" w14:paraId="0000000A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Attach: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guatemala_immigration_health_form_2015.png, spanish_language_clinic_note_2017.jpg, dcfs_placement_summary_02_06_2026.pdf, igra_quantiferon_03_05_2026.pdf, chest_xray_report_02_26_2026.pdf, hospital_discharge_summary_03_02_2026.pdf, pharmacy_records_walgreens_03_15_2026.pdf, immunization_record_03_18_2026.pdf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4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Referral 2: Pediatric Gastroenterology — Semi-Urgent (2wk)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Indication: </w:t>
      </w:r>
      <w:r w:rsidDel="00000000" w:rsidR="00000000" w:rsidRPr="00000000">
        <w:rPr>
          <w:sz w:val="22"/>
          <w:szCs w:val="22"/>
          <w:rtl w:val="0"/>
        </w:rPr>
        <w:t xml:space="preserve">Re-establishing care for clinically suspected Crohn’s (unconfirmed histologically). CT enterography (07/2025): skip lesions, ileal thickening, comb sign — colonoscopy recommended but never done (8+ months). Infliximab started empirically, held 01/25/2026 for LFTs (ALT 92, AST 78). No bridge therapy since. Current labs: ALT 78, AST 65 (trending down). Hgb 10.2, ferritin 6. Oral iron stopped today; IV iron being arranged.</w:t>
      </w:r>
    </w:p>
    <w:p w:rsidR="00000000" w:rsidDel="00000000" w:rsidP="00000000" w:rsidRDefault="00000000" w:rsidRPr="00000000" w14:paraId="0000000D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 Questions: </w:t>
      </w:r>
      <w:r w:rsidDel="00000000" w:rsidR="00000000" w:rsidRPr="00000000">
        <w:rPr>
          <w:sz w:val="22"/>
          <w:szCs w:val="22"/>
          <w:rtl w:val="0"/>
        </w:rPr>
        <w:t xml:space="preserve">(1) Colonoscopy with biopsy for histologic confirmation. (2) Infliximab restart readiness — contingent on TB clearance, LFT normalization, and histologic confirmation. New Medicaid PA required (lapsed 11/2025). (3) Bridge therapy recommendation. (4) IV iron formulation preference.</w:t>
      </w:r>
    </w:p>
    <w:p w:rsidR="00000000" w:rsidDel="00000000" w:rsidP="00000000" w:rsidRDefault="00000000" w:rsidRPr="00000000" w14:paraId="0000000E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Cross-Dependency: </w:t>
      </w:r>
      <w:r w:rsidDel="00000000" w:rsidR="00000000" w:rsidRPr="00000000">
        <w:rPr>
          <w:sz w:val="22"/>
          <w:szCs w:val="22"/>
          <w:rtl w:val="0"/>
        </w:rPr>
        <w:t xml:space="preserve">Colonoscopy timing depends on ID clearance. Cannot proceed during active TB workup.</w:t>
      </w:r>
    </w:p>
    <w:p w:rsidR="00000000" w:rsidDel="00000000" w:rsidP="00000000" w:rsidRDefault="00000000" w:rsidRPr="00000000" w14:paraId="0000000F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Attach: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ct_enterography_07_14_2025.pdf, gi_note_dr_patel_07_20_2025.pdf, gi_hold_letter_dr_patel_01_25_2026.pdf, baseline_labs_03_18_2026.pdf, prior_auth_infliximab_05_2025.pdf, dental_consult_note_03_14_2026.pdf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2" w:sz="4" w:val="single"/>
        </w:pBdr>
        <w:spacing w:after="60" w:before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Referral 3: Genetics / Neurology — Routine (4–6wk)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Indication: </w:t>
      </w:r>
      <w:sdt>
        <w:sdtPr>
          <w:id w:val="10782794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NF1 variant c.2033A&gt;G reclassified from VUS to Likely Pathogenic (03/10/2026). Clinical criteria met independently: ≥7 café au lait macules &gt;0.5 cm + axillary freckling (2 of 7 NIH criteria). Brain MRI FLAIR (02/28/2026, USB, no official read): bilateral T2 hyperintensities consistent with NF1 UBOs (benign). Optic pathway sequences NOT included — optic glioma cannot be excluded.</w:t>
          </w:r>
        </w:sdtContent>
      </w:sdt>
    </w:p>
    <w:p w:rsidR="00000000" w:rsidDel="00000000" w:rsidP="00000000" w:rsidRDefault="00000000" w:rsidRPr="00000000" w14:paraId="00000012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Consult Questions: </w:t>
      </w:r>
      <w:sdt>
        <w:sdtPr>
          <w:id w:val="-21171872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(1) Genetics: confirm classification, establish annual NF1 surveillance per ACMG. (2) Neurology: formal MRI read, repeat MRI with dedicated optic nerve sequences. (3) Coordinate ophthalmology referral — dual purpose: Lisch nodule slit-lamp exam (NF1) + strabismus follow-up (known esotropia, glasses lost, Rx: OD +1.25, OS +2.00). ICD-10: Z15.89 → Q85.01.</w:t>
          </w:r>
        </w:sdtContent>
      </w:sdt>
    </w:p>
    <w:p w:rsidR="00000000" w:rsidDel="00000000" w:rsidP="00000000" w:rsidRDefault="00000000" w:rsidRPr="00000000" w14:paraId="00000013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Cross-Dependency: </w:t>
      </w:r>
      <w:r w:rsidDel="00000000" w:rsidR="00000000" w:rsidRPr="00000000">
        <w:rPr>
          <w:sz w:val="22"/>
          <w:szCs w:val="22"/>
          <w:rtl w:val="0"/>
        </w:rPr>
        <w:t xml:space="preserve">None. Independent of ID and GI consultations.</w:t>
      </w:r>
    </w:p>
    <w:p w:rsidR="00000000" w:rsidDel="00000000" w:rsidP="00000000" w:rsidRDefault="00000000" w:rsidRPr="00000000" w14:paraId="00000014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Attach: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genetics_vus_report_06_01_2025.pdf, genetics_reclassification_letter_03_10_2026.pdf, Brain_mri_usb_flair_02_28_2026.jpg, cafe_au_lait_photo_03_18_2026.png, ophthalmology_note_dr_reyes_04_15_2025.pdf.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3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3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7"/>
      <w:szCs w:val="17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7"/>
      <w:szCs w:val="17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g0fJ2IsfGQDkc12gUJ6Fumyjg==">CgMxLjAaHQoBMBIYChYIB0ISEhBBcmlhbCBVbmljb2RlIE1TGh0KATESGAoWCAdCEhIQQXJpYWwgVW5pY29kZSBNUzgAciExWEFEWXpVMVVrb1BzaEU5X2xzZHZqQVFLMUdaazBkZ00=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