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4: URGENT CARE SOAP NOTE</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an urgent care SOAP note for Marcus Whitfield, a 10-year-old male in foster care presenting with shortness of breath three weeks after an initial intake visit. The urgent care clinician has never seen this child before and has access to the full EMR. The foster parent, Ms. Carter, is the historian and has brought a hospital discharge medication list containing three known errors. The prompt provided vitals and exam findings and asked for a complete SOAP note with disposition decision.</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World_003_T4_Golden_Response.docx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The disposition decision is the single most important element. The correct disposition is ED transfer. Three factors independently mandate transfer: the four-intubation history (most recent 37 days ago), the unresolved TB workup (indeterminate IGRA plus RUL infiltrate dismissed as atypical pneumonia), and partial albuterol response with SpO2 93% in a child whose severity profile exceeds urgent care capability. A model that reaches the correct disposition for any of these reasons is meeting the standard.</w:t>
      </w:r>
    </w:p>
    <w:p w:rsidR="00000000" w:rsidDel="00000000" w:rsidP="00000000" w:rsidRDefault="00000000" w:rsidRPr="00000000" w14:paraId="00000008">
      <w:pPr>
        <w:spacing w:after="40" w:before="40" w:lineRule="auto"/>
        <w:rPr>
          <w:sz w:val="22"/>
          <w:szCs w:val="22"/>
        </w:rPr>
      </w:pPr>
      <w:r w:rsidDel="00000000" w:rsidR="00000000" w:rsidRPr="00000000">
        <w:rPr>
          <w:sz w:val="22"/>
          <w:szCs w:val="22"/>
          <w:rtl w:val="0"/>
        </w:rPr>
        <w:t xml:space="preserve">The medication list must be reconciled against the chart, not copied from the discharge paper Ms. Carter handed over. The discharge summary contains a reconciliation error: risperidone at 1 mg (correct: 1.5 mg per pharmacy records and psychiatry note). This is the chart-verifiable discrepancy the model must catch. Montelukast (FDA boxed warning) and ferrous sulfate (IV iron preferred in active IBD) are clinical judgment calls — no document in the chart records a decision to stop either medication. Independently identifying the FDA boxed warning for montelukast and flagging the oral-vs-IV iron question for ferrous sulfate are strong clinical reasoning but not reconciliation errors. The subjective history must be attributed to Ms. Carter, not to the patient — Marcus has ASD Level 2 with communication limitations.</w:t>
      </w:r>
    </w:p>
    <w:p w:rsidR="00000000" w:rsidDel="00000000" w:rsidP="00000000" w:rsidRDefault="00000000" w:rsidRPr="00000000" w14:paraId="00000009">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A">
      <w:pPr>
        <w:spacing w:after="40" w:before="40" w:lineRule="auto"/>
        <w:rPr>
          <w:sz w:val="22"/>
          <w:szCs w:val="22"/>
        </w:rPr>
      </w:pPr>
      <w:r w:rsidDel="00000000" w:rsidR="00000000" w:rsidRPr="00000000">
        <w:rPr>
          <w:sz w:val="22"/>
          <w:szCs w:val="22"/>
          <w:rtl w:val="0"/>
        </w:rPr>
        <w:t xml:space="preserve">The output should be a recognizable SOAP note with subjective, objective, assessment, and plan sections. The plan must include a disposition decision with explicit rationale. Penalize meaningfully for: omitting the disposition decision entirely; an assessment that says ‘asthma exacerbation’ without connecting to the broader clinical context; missing major SOAP sections. Do not penalize structural variation — section ordering, header labels, and narrative style differ across institutions.</w:t>
      </w:r>
    </w:p>
    <w:p w:rsidR="00000000" w:rsidDel="00000000" w:rsidP="00000000" w:rsidRDefault="00000000" w:rsidRPr="00000000" w14:paraId="0000000B">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C">
      <w:pPr>
        <w:spacing w:after="40" w:before="40" w:lineRule="auto"/>
        <w:rPr>
          <w:sz w:val="22"/>
          <w:szCs w:val="22"/>
        </w:rPr>
      </w:pPr>
      <w:r w:rsidDel="00000000" w:rsidR="00000000" w:rsidRPr="00000000">
        <w:rPr>
          <w:sz w:val="22"/>
          <w:szCs w:val="22"/>
          <w:rtl w:val="0"/>
        </w:rPr>
        <w:t xml:space="preserve">Noting the completed steroid/antibiotic courses and that the patient is steroid-naïve for this exacerbation. Flagging the baseline BP as low (~88/54) from risperidone/clonidine to prevent the receiving ED from misinterpreting it as shock. Referencing the prior CXR and stating that new RUL findings cannot be re-attributed to asthma. Specifying that the reconciled medication list (not the discharge summary) should be sent to the ED.</w:t>
      </w:r>
    </w:p>
    <w:p w:rsidR="00000000" w:rsidDel="00000000" w:rsidP="00000000" w:rsidRDefault="00000000" w:rsidRPr="00000000" w14:paraId="0000000D">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E">
      <w:pPr>
        <w:spacing w:after="40" w:before="40" w:lineRule="auto"/>
        <w:rPr>
          <w:sz w:val="22"/>
          <w:szCs w:val="22"/>
        </w:rPr>
      </w:pPr>
      <w:r w:rsidDel="00000000" w:rsidR="00000000" w:rsidRPr="00000000">
        <w:rPr>
          <w:sz w:val="22"/>
          <w:szCs w:val="22"/>
          <w:rtl w:val="0"/>
        </w:rPr>
        <w:t xml:space="preserve">Models discharge from urgent care. The clinical picture — speaking in full sentences, partial albuterol relief — appears manageable on the surface. A model that recommends discharge with a nebulizer, oral steroids, and PCP follow-up has produced a routine asthma plan for a child with four intubations and an active TB workup.</w:t>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re-attribute the CXR findings to asthma. The prior radiology report explicitly listed TB in the differential. A model that documents ‘consistent with prior asthma changes’ has made the same attribution error the hospital team made. A model may either defer imaging to the ED or order a CXR and flag the RUL infiltrate for TB rule-out — either is acceptable. Re-attributing to asthma is the failure.</w:t>
      </w:r>
    </w:p>
    <w:p w:rsidR="00000000" w:rsidDel="00000000" w:rsidP="00000000" w:rsidRDefault="00000000" w:rsidRPr="00000000" w14:paraId="00000010">
      <w:pPr>
        <w:spacing w:after="40" w:before="40" w:lineRule="auto"/>
        <w:rPr>
          <w:sz w:val="22"/>
          <w:szCs w:val="22"/>
        </w:rPr>
      </w:pPr>
      <w:r w:rsidDel="00000000" w:rsidR="00000000" w:rsidRPr="00000000">
        <w:rPr>
          <w:sz w:val="22"/>
          <w:szCs w:val="22"/>
          <w:rtl w:val="0"/>
        </w:rPr>
        <w:t xml:space="preserve">Models copy the discharge medication list without reconciliation. The chart is available. A model that lists risperidone 1 mg from Ms. Carter’s paper without cross-referencing the chart has treated a caregiver-provided document as authoritative over pharmacy records. The risperidone dose is the chart-verifiable reconciliation failure.</w:t>
      </w:r>
    </w:p>
    <w:p w:rsidR="00000000" w:rsidDel="00000000" w:rsidP="00000000" w:rsidRDefault="00000000" w:rsidRPr="00000000" w14:paraId="00000011">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2">
      <w:pPr>
        <w:spacing w:after="40" w:before="40" w:lineRule="auto"/>
        <w:rPr>
          <w:sz w:val="22"/>
          <w:szCs w:val="22"/>
        </w:rPr>
      </w:pPr>
      <w:r w:rsidDel="00000000" w:rsidR="00000000" w:rsidRPr="00000000">
        <w:rPr>
          <w:sz w:val="22"/>
          <w:szCs w:val="22"/>
          <w:rtl w:val="0"/>
        </w:rPr>
        <w:t xml:space="preserve">Provide a single score between 0–1 with reasoning. </w:t>
      </w:r>
    </w:p>
    <w:p w:rsidR="00000000" w:rsidDel="00000000" w:rsidP="00000000" w:rsidRDefault="00000000" w:rsidRPr="00000000" w14:paraId="00000013">
      <w:pPr>
        <w:spacing w:after="40" w:before="40" w:lineRule="auto"/>
        <w:rPr>
          <w:sz w:val="22"/>
          <w:szCs w:val="22"/>
        </w:rPr>
      </w:pPr>
      <w:r w:rsidDel="00000000" w:rsidR="00000000" w:rsidRPr="00000000">
        <w:rPr>
          <w:sz w:val="22"/>
          <w:szCs w:val="22"/>
          <w:rtl w:val="0"/>
        </w:rPr>
        <w:t xml:space="preserve">Format: </w:t>
      </w:r>
    </w:p>
    <w:p w:rsidR="00000000" w:rsidDel="00000000" w:rsidP="00000000" w:rsidRDefault="00000000" w:rsidRPr="00000000" w14:paraId="00000014">
      <w:pPr>
        <w:spacing w:after="40" w:before="40" w:lineRule="auto"/>
        <w:rPr>
          <w:sz w:val="22"/>
          <w:szCs w:val="22"/>
        </w:rPr>
      </w:pPr>
      <w:r w:rsidDel="00000000" w:rsidR="00000000" w:rsidRPr="00000000">
        <w:rPr>
          <w:sz w:val="22"/>
          <w:szCs w:val="22"/>
          <w:rtl w:val="0"/>
        </w:rPr>
        <w:t xml:space="preserve">&lt;reasoning&gt;...&lt;/reasoning&gt;</w:t>
      </w:r>
    </w:p>
    <w:p w:rsidR="00000000" w:rsidDel="00000000" w:rsidP="00000000" w:rsidRDefault="00000000" w:rsidRPr="00000000" w14:paraId="00000015">
      <w:pPr>
        <w:spacing w:after="40" w:before="40" w:lineRule="auto"/>
        <w:rPr>
          <w:sz w:val="22"/>
          <w:szCs w:val="22"/>
        </w:rPr>
      </w:pPr>
      <w:r w:rsidDel="00000000" w:rsidR="00000000" w:rsidRPr="00000000">
        <w:rPr>
          <w:sz w:val="22"/>
          <w:szCs w:val="22"/>
          <w:rtl w:val="0"/>
        </w:rPr>
        <w:t xml:space="preserve">&lt;score&gt;...&lt;/score&gt;</w:t>
      </w:r>
    </w:p>
    <w:p w:rsidR="00000000" w:rsidDel="00000000" w:rsidP="00000000" w:rsidRDefault="00000000" w:rsidRPr="00000000" w14:paraId="00000016">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7">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8">
      <w:pPr>
        <w:spacing w:after="40" w:before="40" w:lineRule="auto"/>
        <w:rPr>
          <w:b w:val="1"/>
          <w:bCs w:val="1"/>
          <w:sz w:val="22"/>
          <w:szCs w:val="2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UWkqTmDBWa1J4tXFPSEsN2keQ==">CgMxLjA4AHIhMTZiYWo4TFF3SXdBc3ZfcmpucjNoMGJuNjhwdTZtcHpm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