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I’m the urgent care doc seeing Marcus Whitfield, a 10-year-old male who just walked in on April 8, 2026, with shortness of breath that started about 4 hours ago. I’ve never seen this kid before. His foster mother, Ms. Carter, is here and she’s the historian — she says he’s been taking his medications as prescribed and used his albuterol about an hour ago, 2 puffs, with partial relief. She handed me a medication list from his recent hospital discharge.Vitals: HR 112, RR 28, BP 86/52, SpO2 93% on RA, Temp 98.8°F, Wt 26.1 kg. On exam: alert, mild intercostal retractions, speaking in full sentences but pausing to breathe between longer phrases. Lungs: diffuse bilateral expiratory wheezing, prolonged expiratory phase, decreased air entry at the right apex. CV: tachycardic, regular rhythm, no murmurs. Abdomen: soft, nontender. Extremities: no edema, cap refill 2 seconds. Skin: multiple café au lait macules noted on trunk.I’ve pulled up his full chart in our EMR and all his records are attached. Write me a complete SOAP note including assessment, plan, and disposition decision with rationale.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His complete record is attached.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VV7PP7ha1baVTHbEWX90ym+e4g==">CgMxLjA4AHIhMUd1LUtINVJOZzdhUTNCQ2s4YllxMHpteGxwRGlqTVNV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