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I'm doing a panel review and need a full risk stratification workup on Marcus Whitfield. Today is March 18, 2026. His chart is attached. Assign a risk tier with documented rationale and identify all applicable HCC categories for confirmed diagnoses only — don't assign HCCs for anything that hasn't been formally diagnosed. His complete record is attached.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SH3zPcgfWLaoP1kUnSxcdWnuRw==">CgMxLjA4AHIhMTh6aExONGhhNjIyZzRZWkFHMU1IWHNZWlFhRE9RWjRl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