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6: PRIOR AUTHORIZATION REQUEST</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 prior authorization request for infliximab prepared for Marcus Whitfield, a 10-year-old male in foster care on DCFS Medicaid. The infliximab prior auth lapsed in 11/2025 during a clinical hold and was never renewed. The model was asked to prepare the PA request using the attached chart.</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World_003_T6_Golden_Response.docx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The diagnosis coding is the primary discriminator. A Crohn’s disease code (any K50.x — K50.00, K50.80, or K50.90 are all acceptable) must be used, with justification citing the CT enterography findings and documented clinical response to infliximab. The model must acknowledge that histologic confirmation is pending — accept any phrasing that conveys the diagnosis is not histologically confirmed (e.g., “presumptive,” “clinically suspected,” “pending biopsy,” “radiographic diagnosis”). Do not require the specific word “presumptive.” A model that uses symptom codes (K52.9, R19.x) has produced a PA that does not match the drug’s approved indications.</w:t>
      </w:r>
    </w:p>
    <w:p w:rsidR="00000000" w:rsidDel="00000000" w:rsidP="00000000" w:rsidRDefault="00000000" w:rsidRPr="00000000" w14:paraId="00000008">
      <w:pPr>
        <w:spacing w:after="40" w:before="40" w:lineRule="auto"/>
        <w:rPr>
          <w:sz w:val="22"/>
          <w:szCs w:val="22"/>
        </w:rPr>
      </w:pPr>
      <w:r w:rsidDel="00000000" w:rsidR="00000000" w:rsidRPr="00000000">
        <w:rPr>
          <w:sz w:val="22"/>
          <w:szCs w:val="22"/>
          <w:rtl w:val="0"/>
        </w:rPr>
        <w:t xml:space="preserve">The clinical hold conditions must be acknowledged — the model cannot request immediate restart. The chart documents three independent hold conditions: TB workup not cleared, LFTs still elevated, and colonoscopy not completed. The model must convey to the payer that restart is contingent on clinical conditions clearing. Accept any framing that acknowledges these conditions — do not require them to be labeled as “gates.” A prospective authorization with an estimated timeline is the strongest approach.</w:t>
      </w:r>
    </w:p>
    <w:p w:rsidR="00000000" w:rsidDel="00000000" w:rsidP="00000000" w:rsidRDefault="00000000" w:rsidRPr="00000000" w14:paraId="00000009">
      <w:pPr>
        <w:spacing w:after="40" w:before="40" w:lineRule="auto"/>
        <w:rPr>
          <w:sz w:val="22"/>
          <w:szCs w:val="22"/>
        </w:rPr>
      </w:pPr>
      <w:r w:rsidDel="00000000" w:rsidR="00000000" w:rsidRPr="00000000">
        <w:rPr>
          <w:sz w:val="22"/>
          <w:szCs w:val="22"/>
          <w:rtl w:val="0"/>
        </w:rPr>
        <w:t xml:space="preserve">The supporting documentation must be curated. The model should attach the lapsed original PA, the GI note and hold letter, the CT enterography, current labs, and the IGRA and CXR. A model that attaches everything or only the hold letter has not curated appropriately.</w:t>
      </w:r>
    </w:p>
    <w:p w:rsidR="00000000" w:rsidDel="00000000" w:rsidP="00000000" w:rsidRDefault="00000000" w:rsidRPr="00000000" w14:paraId="0000000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B">
      <w:pPr>
        <w:spacing w:after="40" w:before="40" w:lineRule="auto"/>
        <w:rPr>
          <w:sz w:val="22"/>
          <w:szCs w:val="22"/>
        </w:rPr>
      </w:pPr>
      <w:r w:rsidDel="00000000" w:rsidR="00000000" w:rsidRPr="00000000">
        <w:rPr>
          <w:sz w:val="22"/>
          <w:szCs w:val="22"/>
          <w:rtl w:val="0"/>
        </w:rPr>
        <w:t xml:space="preserve">The output should be recognizable as a prior authorization request. The specific format does not matter; the content does. Penalize meaningfully for: omitting diagnosis codes; omitting the clinical justification; producing a clinical summary or referral letter instead of a PA. Do not penalize structural variation. The model should specify a Medicaid-preferred biosimilar rather than the reference product, though this is a minor point relative to coding and clinical hold issues.</w:t>
      </w:r>
    </w:p>
    <w:p w:rsidR="00000000" w:rsidDel="00000000" w:rsidP="00000000" w:rsidRDefault="00000000" w:rsidRPr="00000000" w14:paraId="0000000C">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D">
      <w:pPr>
        <w:spacing w:after="40" w:before="40" w:lineRule="auto"/>
        <w:rPr>
          <w:sz w:val="22"/>
          <w:szCs w:val="22"/>
        </w:rPr>
      </w:pPr>
      <w:r w:rsidDel="00000000" w:rsidR="00000000" w:rsidRPr="00000000">
        <w:rPr>
          <w:sz w:val="22"/>
          <w:szCs w:val="22"/>
          <w:rtl w:val="0"/>
        </w:rPr>
        <w:t xml:space="preserve">Specifying biosimilar vs. reference product with awareness of DCFS Medicaid formulary. Including the appropriate HCPCS code (J1745 for reference infliximab, or the corresponding Q-code if a biosimilar is specified). Projecting a specific restart timeline (8–12 weeks). Noting the prior therapy history and documented clinical response. Including the ECCO 2023 rationale for stopping oral iron. Listing the site of service. Note: the biosimilar preference relies on external Medicaid formulary knowledge, not chart-derived information. These reflect administrative thoroughness but their absence alone should not drive a large penalty.</w:t>
      </w:r>
    </w:p>
    <w:p w:rsidR="00000000" w:rsidDel="00000000" w:rsidP="00000000" w:rsidRDefault="00000000" w:rsidRPr="00000000" w14:paraId="0000000E">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use symptom codes (K52.9, R19.8) instead of K50.00 — the diagnosis must match the drug’s approved indications. A model that codes K50.x without any acknowledgment that histologic confirmation is pending has overclaimed — but accept any phrasing that conveys diagnostic uncertainty, not just the word “presumptive.” Omitting diagnosis codes entirely will result in payer return.</w:t>
      </w:r>
    </w:p>
    <w:p w:rsidR="00000000" w:rsidDel="00000000" w:rsidP="00000000" w:rsidRDefault="00000000" w:rsidRPr="00000000" w14:paraId="00000010">
      <w:pPr>
        <w:spacing w:after="40" w:before="40" w:lineRule="auto"/>
        <w:rPr>
          <w:sz w:val="22"/>
          <w:szCs w:val="22"/>
        </w:rPr>
      </w:pPr>
      <w:r w:rsidDel="00000000" w:rsidR="00000000" w:rsidRPr="00000000">
        <w:rPr>
          <w:sz w:val="22"/>
          <w:szCs w:val="22"/>
          <w:rtl w:val="0"/>
        </w:rPr>
        <w:t xml:space="preserve">Models request immediate restart without acknowledging the clinical holds. These conditions are documented across multiple files and the model must synthesize them into a coherent timeline for the payer.</w:t>
      </w:r>
    </w:p>
    <w:p w:rsidR="00000000" w:rsidDel="00000000" w:rsidP="00000000" w:rsidRDefault="00000000" w:rsidRPr="00000000" w14:paraId="00000011">
      <w:pPr>
        <w:spacing w:after="40" w:before="40" w:lineRule="auto"/>
        <w:rPr>
          <w:sz w:val="22"/>
          <w:szCs w:val="22"/>
        </w:rPr>
      </w:pPr>
      <w:r w:rsidDel="00000000" w:rsidR="00000000" w:rsidRPr="00000000">
        <w:rPr>
          <w:sz w:val="22"/>
          <w:szCs w:val="22"/>
          <w:rtl w:val="0"/>
        </w:rPr>
        <w:t xml:space="preserve">Models do not recognize that this is DCFS Foster Care Medicaid. The payer pathway and formulary rules may differ from standard Medicaid, and the PA should reflect awareness of this.</w:t>
      </w:r>
    </w:p>
    <w:p w:rsidR="00000000" w:rsidDel="00000000" w:rsidP="00000000" w:rsidRDefault="00000000" w:rsidRPr="00000000" w14:paraId="00000012">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3">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4">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40" w:before="40" w:lineRule="auto"/>
        <w:rPr>
          <w:b w:val="1"/>
          <w:bCs w:val="1"/>
          <w:sz w:val="22"/>
          <w:szCs w:val="2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HHhx645x9Hh9CH8KkfJTUnkA==">CgMxLjA4AHIhMWZLV1JSWF9JRkVQZjVWLUkyazJlUTYxQnVJRWVweXhw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