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i w:val="1"/>
          <w:iCs w:val="1"/>
          <w:rtl w:val="0"/>
        </w:rPr>
        <w:t xml:space="preserve">I’m the CDI specialist reviewing Marcus Whitfield’s recent hospitalization — he was admitted 02/26 and discharged 03/02/2026 for an asthma exacerbation with intubation. I’ve got the full chart pulled up. Review the discharge summary against the rest of the record and generate compliant physician queries for any documentation gaps that affect coding, DRG assignment, or patient safety. Only query what’s queryable — don’t overstep into clinical judgment.</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I’m reviewing this on March 20, 2026. His complete record is attached.</w:t>
      </w: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4u22ogsv86YPCI2p0m7e+lAUQ==">CgMxLjA4AHIhMVNaRE8xSnVvTG1DeXJPTGtzdTRpLUJlUDFxdTcxMVlK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