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pPr>
      <w:r w:rsidDel="00000000" w:rsidR="00000000" w:rsidRPr="00000000">
        <w:rPr>
          <w:b w:val="1"/>
          <w:bCs w:val="1"/>
          <w:sz w:val="26"/>
          <w:szCs w:val="26"/>
          <w:rtl w:val="0"/>
        </w:rPr>
        <w:t xml:space="preserve">GRADER GUIDELINES — TASK 8: COMPREHENSIVE MEDICATION THERAPY REVIEW</w:t>
      </w:r>
      <w:r w:rsidDel="00000000" w:rsidR="00000000" w:rsidRPr="00000000">
        <w:rPr>
          <w:rtl w:val="0"/>
        </w:rPr>
      </w:r>
    </w:p>
    <w:p w:rsidR="00000000" w:rsidDel="00000000" w:rsidP="00000000" w:rsidRDefault="00000000" w:rsidRPr="00000000" w14:paraId="00000002">
      <w:pPr>
        <w:spacing w:after="120" w:before="40" w:lineRule="auto"/>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t xml:space="preserve">You are reviewing a comprehensive medication therapy assessment for Marcus Whitfield, a 10-year-old male in foster care with 10 active chronic conditions and medications from 3 independent prescribers who do not communicate. The model was asked to produce a personal medication record, a prioritized list of medication-related problems, and a medication action plan using the attached chart.</w:t>
      </w:r>
    </w:p>
    <w:p w:rsidR="00000000" w:rsidDel="00000000" w:rsidP="00000000" w:rsidRDefault="00000000" w:rsidRPr="00000000" w14:paraId="00000004">
      <w:pPr>
        <w:pBdr>
          <w:bottom w:color="000000" w:space="2" w:sz="4" w:val="single"/>
        </w:pBdr>
        <w:spacing w:after="60" w:before="200" w:lineRule="auto"/>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t xml:space="preserve">Open World_003_T8_Golden_Response.docx before grading.</w:t>
      </w:r>
    </w:p>
    <w:p w:rsidR="00000000" w:rsidDel="00000000" w:rsidP="00000000" w:rsidRDefault="00000000" w:rsidRPr="00000000" w14:paraId="00000006">
      <w:pPr>
        <w:pBdr>
          <w:bottom w:color="000000" w:space="2" w:sz="4" w:val="single"/>
        </w:pBdr>
        <w:spacing w:after="60" w:before="200" w:lineRule="auto"/>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t xml:space="preserve">The additive hypotension from risperidone + clonidine is the highest-priority finding. BP 88/54 is documented twice and both agents cause hypotension. A model that evaluates each medication independently without identifying the combined hemodynamic risk has failed to assess the regimen as a whole.</w:t>
      </w:r>
    </w:p>
    <w:p w:rsidR="00000000" w:rsidDel="00000000" w:rsidP="00000000" w:rsidRDefault="00000000" w:rsidRPr="00000000" w14:paraId="00000008">
      <w:pPr>
        <w:spacing w:after="40" w:before="40" w:lineRule="auto"/>
        <w:rPr/>
      </w:pPr>
      <w:r w:rsidDel="00000000" w:rsidR="00000000" w:rsidRPr="00000000">
        <w:rPr>
          <w:rtl w:val="0"/>
        </w:rPr>
        <w:t xml:space="preserve">The incomplete ADA/APA metabolic monitoring for risperidone is a patient safety gap. Marcus already has HbA1c 5.7% and dyslipidemia consistent with risperidone-induced metabolic syndrome, but the required monitoring protocol has never been completed. A model that notes the lab values without connecting them to the monitoring requirements has identified data points but not the safety gap.</w:t>
      </w:r>
    </w:p>
    <w:p w:rsidR="00000000" w:rsidDel="00000000" w:rsidP="00000000" w:rsidRDefault="00000000" w:rsidRPr="00000000" w14:paraId="00000009">
      <w:pPr>
        <w:spacing w:after="40" w:before="40" w:lineRule="auto"/>
        <w:rPr/>
      </w:pPr>
      <w:r w:rsidDel="00000000" w:rsidR="00000000" w:rsidRPr="00000000">
        <w:rPr>
          <w:rtl w:val="0"/>
        </w:rPr>
        <w:t xml:space="preserve">The methylphenidate-growth trade-off must be addressed. The dose may be within therapeutic range by weight, but stimulant appetite suppression in a child already failing to thrive is a medication-related problem. A model that confirms the dose is appropriate without addressing the growth impact has done a formulary check, not a therapy review.</w:t>
      </w:r>
    </w:p>
    <w:p w:rsidR="00000000" w:rsidDel="00000000" w:rsidP="00000000" w:rsidRDefault="00000000" w:rsidRPr="00000000" w14:paraId="0000000A">
      <w:pPr>
        <w:spacing w:after="40" w:before="40" w:lineRule="auto"/>
        <w:rPr/>
      </w:pPr>
      <w:r w:rsidDel="00000000" w:rsidR="00000000" w:rsidRPr="00000000">
        <w:rPr>
          <w:rtl w:val="0"/>
        </w:rPr>
        <w:t xml:space="preserve">The prescriber non-communication must be identified as a systemic medication-related problem. Three prescribers managing overlapping medications without cross-communication directly caused the current situation. A model that evaluates medications in isolation without flagging the coordination failure has missed a root cause.</w:t>
      </w:r>
    </w:p>
    <w:p w:rsidR="00000000" w:rsidDel="00000000" w:rsidP="00000000" w:rsidRDefault="00000000" w:rsidRPr="00000000" w14:paraId="0000000B">
      <w:pPr>
        <w:pBdr>
          <w:bottom w:color="000000" w:space="2" w:sz="4" w:val="single"/>
        </w:pBdr>
        <w:spacing w:after="60" w:before="200" w:lineRule="auto"/>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t xml:space="preserve">The prompt asks for a personal medication record, identification of medication-related problems, and an action plan. A model that addresses some but not all has produced an incomplete response. Penalize meaningfully for: omitting any of the three deliverables; producing a medication-by-medication summary without cross-medication analysis; an action plan without specific recommendations. Do not penalize structural variation in how the deliverables are organized.</w:t>
      </w:r>
    </w:p>
    <w:p w:rsidR="00000000" w:rsidDel="00000000" w:rsidP="00000000" w:rsidRDefault="00000000" w:rsidRPr="00000000" w14:paraId="0000000D">
      <w:pPr>
        <w:pBdr>
          <w:bottom w:color="000000" w:space="2" w:sz="4" w:val="single"/>
        </w:pBdr>
        <w:spacing w:after="60" w:before="200" w:lineRule="auto"/>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E">
      <w:pPr>
        <w:spacing w:after="40" w:before="40" w:lineRule="auto"/>
        <w:rPr/>
      </w:pPr>
      <w:sdt>
        <w:sdtPr>
          <w:id w:val="1284796085"/>
          <w:tag w:val="goog_rdk_0"/>
        </w:sdtPr>
        <w:sdtContent>
          <w:r w:rsidDel="00000000" w:rsidR="00000000" w:rsidRPr="00000000">
            <w:rPr>
              <w:rFonts w:ascii="Arial Unicode MS" w:cs="Arial Unicode MS" w:eastAsia="Arial Unicode MS" w:hAnsi="Arial Unicode MS"/>
              <w:rtl w:val="0"/>
            </w:rPr>
            <w:t xml:space="preserve">Identifying the Symbicort 160/4.5 mcg dose as off-label for a 10-year-old (FDA-approved for ≥12 years) and flagging it for pulmonology review. Noting the dual hepatotoxic agents (risperidone + infliximab) without baseline LFTs. Identifying melatonin’s additive sedative effects with risperidone and clonidine. Noting fish oil’s platelet function effects in a child with active IBD and potential GI bleeding risk. Identifying the fluoxetine CYP2D6 interaction risk with risperidone if another provider acts on the ghost medication. Framing the clonidine fill gap as a restart safety concern rather than just a reconciliation item. Including responsible parties and timelines in the action plan.</w:t>
          </w:r>
        </w:sdtContent>
      </w:sdt>
    </w:p>
    <w:p w:rsidR="00000000" w:rsidDel="00000000" w:rsidP="00000000" w:rsidRDefault="00000000" w:rsidRPr="00000000" w14:paraId="0000000F">
      <w:pPr>
        <w:pBdr>
          <w:bottom w:color="000000" w:space="2" w:sz="4" w:val="single"/>
        </w:pBdr>
        <w:spacing w:after="60" w:before="200" w:lineRule="auto"/>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t xml:space="preserve">Models evaluate each medication in isolation. A comprehensive therapy review requires assessing the regimen as a whole — interactions, cumulative side effects, monitoring gaps across prescribers, and therapeutic trade-offs. A model that produces a medication-by-medication summary without cross-medication analysis has produced a drug information sheet, not a therapy review.</w:t>
      </w:r>
    </w:p>
    <w:p w:rsidR="00000000" w:rsidDel="00000000" w:rsidP="00000000" w:rsidRDefault="00000000" w:rsidRPr="00000000" w14:paraId="00000011">
      <w:pPr>
        <w:spacing w:after="40" w:before="40" w:lineRule="auto"/>
        <w:rPr/>
      </w:pPr>
      <w:r w:rsidDel="00000000" w:rsidR="00000000" w:rsidRPr="00000000">
        <w:rPr>
          <w:rtl w:val="0"/>
        </w:rPr>
        <w:t xml:space="preserve">Models accept all current doses as appropriate without checking against weight-based guidelines, age-based FDA approvals, monitoring protocols, or clinical context. The dose being within a published range does not make it appropriate for this patient.</w:t>
      </w:r>
    </w:p>
    <w:p w:rsidR="00000000" w:rsidDel="00000000" w:rsidP="00000000" w:rsidRDefault="00000000" w:rsidRPr="00000000" w14:paraId="00000012">
      <w:pPr>
        <w:spacing w:after="40" w:before="40" w:lineRule="auto"/>
        <w:rPr/>
      </w:pPr>
      <w:r w:rsidDel="00000000" w:rsidR="00000000" w:rsidRPr="00000000">
        <w:rPr>
          <w:rtl w:val="0"/>
        </w:rPr>
        <w:t xml:space="preserve">Models omit the prescriber coordination gap. A therapy review that does not identify how three non-communicating prescribers created the current medication safety landscape has missed the systemic root cause.</w:t>
      </w:r>
    </w:p>
    <w:p w:rsidR="00000000" w:rsidDel="00000000" w:rsidP="00000000" w:rsidRDefault="00000000" w:rsidRPr="00000000" w14:paraId="00000013">
      <w:pPr>
        <w:pBdr>
          <w:bottom w:color="000000" w:space="2" w:sz="4" w:val="single"/>
        </w:pBdr>
        <w:spacing w:after="60" w:before="200" w:lineRule="auto"/>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t xml:space="preserve">Provide a single score between 0–1 with reasoning. Format: &lt;reasoning&gt;...&lt;/reasoning&gt;&lt;score&gt;...&lt;/score&gt;</w:t>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7">
      <w:pPr>
        <w:spacing w:after="40" w:before="40" w:lineRule="auto"/>
        <w:rPr>
          <w:b w:val="1"/>
          <w:bCs w:val="1"/>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QdSNhh2cZeflrCEa++5k6D2GBw==">CgMxLjAaHQoBMBIYChYIB0ISEhBBcmlhbCBVbmljb2RlIE1TOAByITFUQzJkWmxLcEtSYXJ4Q0lPS2M3Tl9IcndNMXRPczJGeA==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