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reviewing a patient-facing discharge medication list and a physician-facing discharge summary for Harold Pemberton, a 74-year-old male discharged after an 11-day hospitalization involving a COPD exacerbation, new heart failure diagnosis, GI hemorrhage requiring IR embolization, ICU transfer with acute kidney injury, and multiple specialist consultations with conflicting recommendations.</w:t>
      </w:r>
    </w:p>
    <w:p w:rsidR="00000000" w:rsidDel="00000000" w:rsidP="00000000" w:rsidRDefault="00000000" w:rsidRPr="00000000" w14:paraId="00000002">
      <w:pPr>
        <w:rPr/>
      </w:pPr>
      <w:r w:rsidDel="00000000" w:rsidR="00000000" w:rsidRPr="00000000">
        <w:rPr>
          <w:rtl w:val="0"/>
        </w:rPr>
        <w:t xml:space="preserve">── GOLDEN REFERENCE Open Golden_Answer_Discharge_Med_List.docx and Golden_Answer_Discharge_Summary.docx. These are examples of correct answers for this task. Use them as your benchmark across the sections below.</w:t>
      </w:r>
    </w:p>
    <w:p w:rsidR="00000000" w:rsidDel="00000000" w:rsidP="00000000" w:rsidRDefault="00000000" w:rsidRPr="00000000" w14:paraId="00000003">
      <w:pPr>
        <w:rPr/>
      </w:pPr>
      <w:r w:rsidDel="00000000" w:rsidR="00000000" w:rsidRPr="00000000">
        <w:rPr>
          <w:rtl w:val="0"/>
        </w:rPr>
        <w:t xml:space="preserve">── A) CLINICAL ACCURACY — MUST BE PRESENT AND CORRECT</w:t>
      </w:r>
    </w:p>
    <w:p w:rsidR="00000000" w:rsidDel="00000000" w:rsidP="00000000" w:rsidRDefault="00000000" w:rsidRPr="00000000" w14:paraId="00000004">
      <w:pPr>
        <w:rPr/>
      </w:pPr>
      <w:r w:rsidDel="00000000" w:rsidR="00000000" w:rsidRPr="00000000">
        <w:rPr>
          <w:rtl w:val="0"/>
        </w:rPr>
        <w:t xml:space="preserve">Discharge Medication List: Every medication in the golden answer must appear, and no discontinued or permanently held medication should appear as active. Dose-changed medications must reflect the discharge dose, not the pre-admission dose. Substituted medications must show the replacement as active and the discontinued agent as stopped. Taper medications must include the full step-down schedule with a stop instruction. Medications held at discharge must be clearly identified as held — not listed as active and not silently omitted. Any of these errors is a patient safety failure. Polyethylene glycol (MiraLAX) appears as active in several source documents — it is an OTC bowel supplement added during hospitalisation. The golden answer does not include it because the patient already has docusate and senna and MiraLAX is available over the counter. Do not penalise a model for including it if appropriately listed, and do not penalise the golden for omitting it.</w:t>
      </w:r>
    </w:p>
    <w:p w:rsidR="00000000" w:rsidDel="00000000" w:rsidP="00000000" w:rsidRDefault="00000000" w:rsidRPr="00000000" w14:paraId="00000005">
      <w:pPr>
        <w:rPr/>
      </w:pPr>
      <w:r w:rsidDel="00000000" w:rsidR="00000000" w:rsidRPr="00000000">
        <w:rPr>
          <w:rtl w:val="0"/>
        </w:rPr>
        <w:t xml:space="preserve">Discharge Summary: The hospital course must trace the key clinical inflection points as a narrative — why the trajectory changed, what decisions were made, and who made them. Consulting services should be referenced where they directly influenced discharge decisions, particularly where specialists disagreed and the attending adjudicated. Procedures must be documented. Pending results requiring outpatient follow-up must be identified. Fabricated vitals, lab values, or clinical details not supported by the source documents are errors regardless of plausibility.</w:t>
      </w:r>
    </w:p>
    <w:p w:rsidR="00000000" w:rsidDel="00000000" w:rsidP="00000000" w:rsidRDefault="00000000" w:rsidRPr="00000000" w14:paraId="00000006">
      <w:pPr>
        <w:rPr/>
      </w:pPr>
      <w:r w:rsidDel="00000000" w:rsidR="00000000" w:rsidRPr="00000000">
        <w:rPr>
          <w:rtl w:val="0"/>
        </w:rPr>
        <w:t xml:space="preserve">Internal Consistency: The two documents must agree on every medication's name, dose, frequency, and status. A summary that describes holding a medication while the list includes it as active is a clinically dangerous inconsistency.</w:t>
      </w:r>
    </w:p>
    <w:p w:rsidR="00000000" w:rsidDel="00000000" w:rsidP="00000000" w:rsidRDefault="00000000" w:rsidRPr="00000000" w14:paraId="00000007">
      <w:pPr>
        <w:rPr/>
      </w:pPr>
      <w:r w:rsidDel="00000000" w:rsidR="00000000" w:rsidRPr="00000000">
        <w:rPr>
          <w:rtl w:val="0"/>
        </w:rPr>
        <w:t xml:space="preserve">── B) SCOPE AND STRUCTURE</w:t>
      </w:r>
    </w:p>
    <w:p w:rsidR="00000000" w:rsidDel="00000000" w:rsidP="00000000" w:rsidRDefault="00000000" w:rsidRPr="00000000" w14:paraId="00000008">
      <w:pPr>
        <w:rPr/>
      </w:pPr>
      <w:r w:rsidDel="00000000" w:rsidR="00000000" w:rsidRPr="00000000">
        <w:rPr>
          <w:rtl w:val="0"/>
        </w:rPr>
        <w:t xml:space="preserve">Discharge Medication List: The list is patient-facing. Clinical abbreviations without plain-language equivalents (PO, BID, QHS, PRN) are a quality issue in a patient-facing document, but a list that is clinically correct with abbreviations is better than one that uses plain language but has clinical errors. Penalise meaningfully for: a flat undifferentiated list with no categorisation by what changed; inpatient-only therapies that do not apply after discharge; copying the EMR medication list without reconciliation. Do not penalise variation in category labels, ordering, or supplementary patient education.</w:t>
      </w:r>
    </w:p>
    <w:p w:rsidR="00000000" w:rsidDel="00000000" w:rsidP="00000000" w:rsidRDefault="00000000" w:rsidRPr="00000000" w14:paraId="00000009">
      <w:pPr>
        <w:rPr/>
      </w:pPr>
      <w:r w:rsidDel="00000000" w:rsidR="00000000" w:rsidRPr="00000000">
        <w:rPr>
          <w:rtl w:val="0"/>
        </w:rPr>
        <w:t xml:space="preserve">Discharge Summary: The summary is physician-facing. A complete summary for this complexity should address: patient identification and admission context, discharge diagnoses, hospital course covering the major clinical arcs, procedures performed, relevant exam and lab findings at discharge, discharge medication plan with rationale for key changes, pending results requiring outpatient action, active problems, and follow-up with timing and responsible providers. Penalise meaningfully for omitting any of these areas entirely. Do not penalise structural variation — section ordering, headers, and narrative style differ across institutions.</w:t>
      </w:r>
    </w:p>
    <w:p w:rsidR="00000000" w:rsidDel="00000000" w:rsidP="00000000" w:rsidRDefault="00000000" w:rsidRPr="00000000" w14:paraId="0000000A">
      <w:pPr>
        <w:rPr/>
      </w:pPr>
      <w:r w:rsidDel="00000000" w:rsidR="00000000" w:rsidRPr="00000000">
        <w:rPr>
          <w:rtl w:val="0"/>
        </w:rPr>
        <w:t xml:space="preserve">── C) GOOD PRACTICE — SHOWN IN GOLDEN ANSWERS, NOT REQUIRED</w:t>
      </w:r>
    </w:p>
    <w:p w:rsidR="00000000" w:rsidDel="00000000" w:rsidP="00000000" w:rsidRDefault="00000000" w:rsidRPr="00000000" w14:paraId="0000000B">
      <w:pPr>
        <w:rPr/>
      </w:pPr>
      <w:r w:rsidDel="00000000" w:rsidR="00000000" w:rsidRPr="00000000">
        <w:rPr>
          <w:rtl w:val="0"/>
        </w:rPr>
        <w:t xml:space="preserve">Discharge Medication List: Patient-friendly explanations of each medication's purpose; specific administration guidance beyond dose and frequency; allergy reminders; a closing safety instruction directing the patient to bring the list to every provider visit.</w:t>
      </w:r>
    </w:p>
    <w:p w:rsidR="00000000" w:rsidDel="00000000" w:rsidP="00000000" w:rsidRDefault="00000000" w:rsidRPr="00000000" w14:paraId="0000000C">
      <w:pPr>
        <w:rPr/>
      </w:pPr>
      <w:r w:rsidDel="00000000" w:rsidR="00000000" w:rsidRPr="00000000">
        <w:rPr>
          <w:rtl w:val="0"/>
        </w:rPr>
        <w:t xml:space="preserve">Discharge Summary: Narrative contextualising why key medication changes were made rather than just listing them; explicit documentation of how specialist disagreements were resolved and who made the final call; risk-stratified follow-up priorities rather than a flat list of appointments.</w:t>
      </w:r>
    </w:p>
    <w:p w:rsidR="00000000" w:rsidDel="00000000" w:rsidP="00000000" w:rsidRDefault="00000000" w:rsidRPr="00000000" w14:paraId="0000000D">
      <w:pPr>
        <w:rPr/>
      </w:pPr>
      <w:r w:rsidDel="00000000" w:rsidR="00000000" w:rsidRPr="00000000">
        <w:rPr>
          <w:rtl w:val="0"/>
        </w:rPr>
        <w:t xml:space="preserve">── D) KNOWN ERRORS — PENALISE FOR</w:t>
      </w:r>
    </w:p>
    <w:p w:rsidR="00000000" w:rsidDel="00000000" w:rsidP="00000000" w:rsidRDefault="00000000" w:rsidRPr="00000000" w14:paraId="0000000E">
      <w:pPr>
        <w:rPr/>
      </w:pPr>
      <w:r w:rsidDel="00000000" w:rsidR="00000000" w:rsidRPr="00000000">
        <w:rPr>
          <w:rtl w:val="0"/>
        </w:rPr>
        <w:t xml:space="preserve">Models treat the EMR medication list as the discharge list, carrying forward active inpatient orders without reconciling them against clinical decisions documented in the progress notes and consult recommendations. This produces a list that looks complete but contains wrong doses, inpatient-only therapies, and medications that should have been stopped or held. A related pattern: models treat held and discontinued as interchangeable — a medication held pending renal recovery is not the same as a medication permanently stopped, and the patient needs to know the difference. Models also list both a discontinued medication and its replacement as active, creating therapeutic duplication. </w:t>
      </w:r>
    </w:p>
    <w:p w:rsidR="00000000" w:rsidDel="00000000" w:rsidP="00000000" w:rsidRDefault="00000000" w:rsidRPr="00000000" w14:paraId="0000000F">
      <w:pPr>
        <w:rPr/>
      </w:pPr>
      <w:r w:rsidDel="00000000" w:rsidR="00000000" w:rsidRPr="00000000">
        <w:rPr>
          <w:rtl w:val="0"/>
        </w:rPr>
        <w:t xml:space="preserve">On the discharge summary side, models with access to the full set of source documents tend to produce day-by-day chronicles rather than synthesised narratives — the result reads as a concatenation of progress notes rather than a clinical summary a receiving provider can act on. Scope excess of this kind is a task failure, not thoroughness. Models also fabricate discharge vitals or exam findings that do not appear in the source documents — plausible values are still unsupported values. A subtler failure: models document that consulting services were involved but omit the substance of their recommendations and how disagreements between specialists were resolved, which strips the summary of the clinical reasoning the receiving provider needs.</w:t>
      </w:r>
    </w:p>
    <w:p w:rsidR="00000000" w:rsidDel="00000000" w:rsidP="00000000" w:rsidRDefault="00000000" w:rsidRPr="00000000" w14:paraId="00000010">
      <w:pPr>
        <w:rPr/>
      </w:pPr>
      <w:r w:rsidDel="00000000" w:rsidR="00000000" w:rsidRPr="00000000">
        <w:rPr>
          <w:rtl w:val="0"/>
        </w:rPr>
        <w:t xml:space="preserve">── SCORING Provide a single score between 0–1 with reasoning. Format: &lt;reasoning&gt;...&lt;/reasoning&gt;&lt;score&gt;...&lt;/score&gt;</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RWhhY7ba7cJctDwLbi62Emm7vw==">CgMxLjA4AHIhMTFYbHRTY2ZxU1o4M2hEUExkLXZMNGVDd0lnajhUTDd2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