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reviewing a wound care consult SOAP note for Harold Pemberton, a 74-year-old male on hospital day 11, being discharged today after a complicated hospitalization. A Stage 1 sacral pressure injury was identified during morning care.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── GOLDEN REFERENCE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Open Golden_Answer_Wound_Care_SOAP.docx before grading. This is an example of a correct answer for this task. Use it as your benchmark across the sections below.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── A) CLINICAL ACCURACY — MUST BE PRESENT AND CORRECT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Wound staging must be correct per NPUAP classification for intact skin — a higher stage is a clinical error. Wound assessment details provided in the prompt should be documented. Nutritional labs should be documented and addressed with a nutrition recommendation, not simply reported. Etiology must be attributed to prolonged immobility and linked to this patient's clinical history. Skin care must be appropriate for intact skin — there is no wound bed to dress, and recommending a wound-bed dressing (hydrocolloid, alginate, silver) is a clinical error. A moisture barrier is appropriate. A prophylactic silicone-foam dressing framed explicitly as friction/shear prevention rather than wound treatment is a clinically accepted alternative and should not be penalised. The repositioning plan must include specific timing. Patient and family education with return precautions must be present. A discharge statement must explicitly state this finding does not delay discharge. The Braden scale score should be documented.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── B) SCOPE AND LENGTH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is a focused consult answering one clinical question. Penalise meaningfully — not as a style note — for: hospitalization narrative unrelated to the wound; medication lists or reconciliation (only corticosteroid use is relevant, as a healing risk factor — acknowledge the risk, do not explain the pharmacologic mechanism); management of unrelated conditions (mentioning diabetes as a risk factor is appropriate — discussing glycemic control is not); exhaustive risk factor enumeration that inflates the note without adding clinical value. Do not penalise structural variation — SOAP format differs across institutions. Scope excess is a real deficiency, but clinical accuracy is the primary dimension. A note that gets the wound assessment, staging, risk factors, and plan correct but includes extraneous material is a better note than one that is perfectly scoped but clinically incomplete.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── C) GOOD PRACTICE — SHOWN IN GOLDEN ANSWER, NOT REQUIRED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Credit where present; do not penalise for absence. Braden subscores documented individually; healing risk factors contextualised against the patient's course; nutritional history that goes beyond the lab values to contextualise the patient's intake history (NPO periods, poor oral intake) against those findings; moisture barrier product specificity.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── D) KNOWN ERRORS — PENALISE FOR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Models treat comprehensiveness as quality — the result reads as a hospitalization summary with wound care attached, not a focused consult. Scope excess is a task failure, not thoroughness. Models omit the discharge statement because the prompt does not explicitly request it — for a day-of-discharge consult, models focused on wound assessment sometimes skip the clearance entirely. Models recommend a wound-bed dressing for intact skin, applying a generic wound care template rather than stage-specific reasoning. A prophylactic foam dressing is a different intervention — penalise only if framed as wound treatment rather than prevention. Models place an exhaustive PMH or problem list in the Subjective section. S should centre on the patient’s account of the wound complaint. Brief wound-relevant comorbidity context is acceptable. PCP reassessment is the expected first-line follow-up for a finding expected to resolve with offloading. Wound care clinic as a contingency is not unreasonable.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── SCORING Provide a single score between 0–1 with reasoning. Format: &lt;reasoning&gt;...&lt;/reasoning&gt;&lt;score&gt;...&lt;/score&gt;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ytIumwbUrw4ojZiyb+Cm9OEXzw==">CgMxLjA4AGpDCjVzdWdnZXN0SWRJbXBvcnRmMDE3NmM2NS05OThiLTQ1OGYtYmIyMi1kZWNkNTU0YTNkNDdfMRIKSm9zZXBoIExlZXIhMTdNaFNsbjF5aUh6WUtiZmhvRlhLYjBpUzhwYTFOQzVL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