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got a last-minute wound care consult on Mr. Pemberton — he's being discharged today from medicine after an 11-day stay. During morning care, nursing identified a new sacral skin finding and the attending wants wound care to evaluate before he goes home.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wound care nurse assessed him this morning. Here's what she found: Stage 1 pressure injury over the sacrum, midline. About 4 x 3 cm of non-blanchable erythema, warm to touch. Skin is intact …  no breakdown, no drainage, no odor. No induration or fluctuance. He says it's about a 3/10 tenderness with palpation, describes it as 'sore, like a bruise.' Braden score is 16: sensory perception 3, moisture 3, activity 3, mobility 3, nutrition 2, friction/shear 2. Albumin from yesterday was 2.9 and prealbumin was 12. He's been on a regular diet for about 3 days now but had multiple NPO periods and poor intake during his ICU stay. He's on a prednisone taper and has diabetes. BMI is 28. No incontinence. He's on a standard hospital mattress — repositioning was inconsistent during his ICU stay, and he was on bed rest for 6 hours post-IR procedure.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Can you write the wound care consult SOAP note? Here are the clinical notes from his stay.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svNeX2TW5Xzm8UQWZdkMqfKfg==">CgMxLjA4AHIhMVdWaG5iZDUxODJLcHB3UWg5UHg3YWUtN3kzOGFwSWlk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