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264" w:lineRule="auto"/>
        <w:rPr/>
      </w:pPr>
      <w:r w:rsidDel="00000000" w:rsidR="00000000" w:rsidRPr="00000000">
        <w:rPr>
          <w:color w:val="1a1a1a"/>
          <w:rtl w:val="0"/>
        </w:rPr>
        <w:t xml:space="preserve">You are reviewing an urgent care ambulatory SOAP note for Harold Pemberton, a 74-year-old male presenting 2 weeks after discharge from an 11-day hospitalization (COPD exacerbation, new HFrEF EF 30%, GI hemorrhage requiring IR embolization, ICU/AKI, multiple medication changes). He presents with fever, right knee swelling, a right shin abrasion with spreading redness, and right calf tenderness. His daughter provided a discharge medication list. The model has access to the full hospital record.</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b w:val="1"/>
          <w:bCs w:val="1"/>
          <w:color w:val="2b2b2b"/>
          <w:rtl w:val="0"/>
        </w:rPr>
        <w:t xml:space="preserve">── GOLDEN REFERENCE</w:t>
      </w:r>
      <w:r w:rsidDel="00000000" w:rsidR="00000000" w:rsidRPr="00000000">
        <w:rPr>
          <w:rtl w:val="0"/>
        </w:rPr>
      </w:r>
    </w:p>
    <w:p w:rsidR="00000000" w:rsidDel="00000000" w:rsidP="00000000" w:rsidRDefault="00000000" w:rsidRPr="00000000" w14:paraId="00000003">
      <w:pPr>
        <w:spacing w:after="40" w:before="40" w:line="264" w:lineRule="auto"/>
        <w:rPr/>
      </w:pPr>
      <w:r w:rsidDel="00000000" w:rsidR="00000000" w:rsidRPr="00000000">
        <w:rPr>
          <w:color w:val="1a1a1a"/>
          <w:rtl w:val="0"/>
        </w:rPr>
        <w:t xml:space="preserve">Open Golden_Answer_UC_SOAP.docx before grading. This is an example of a correct answer for this task. Use it as your benchmark across the sections below.</w:t>
      </w:r>
      <w:r w:rsidDel="00000000" w:rsidR="00000000" w:rsidRPr="00000000">
        <w:rPr>
          <w:rtl w:val="0"/>
        </w:rPr>
      </w:r>
    </w:p>
    <w:p w:rsidR="00000000" w:rsidDel="00000000" w:rsidP="00000000" w:rsidRDefault="00000000" w:rsidRPr="00000000" w14:paraId="00000004">
      <w:pPr>
        <w:spacing w:after="40" w:before="160" w:lineRule="auto"/>
        <w:rPr/>
      </w:pPr>
      <w:r w:rsidDel="00000000" w:rsidR="00000000" w:rsidRPr="00000000">
        <w:rPr>
          <w:b w:val="1"/>
          <w:bCs w:val="1"/>
          <w:color w:val="2b2b2b"/>
          <w:rtl w:val="0"/>
        </w:rPr>
        <w:t xml:space="preserve">── A) CLINICAL REASONING — MUST BE PRESENT AND CORRECT</w:t>
      </w:r>
      <w:r w:rsidDel="00000000" w:rsidR="00000000" w:rsidRPr="00000000">
        <w:rPr>
          <w:rtl w:val="0"/>
        </w:rPr>
      </w:r>
    </w:p>
    <w:p w:rsidR="00000000" w:rsidDel="00000000" w:rsidP="00000000" w:rsidRDefault="00000000" w:rsidRPr="00000000" w14:paraId="00000005">
      <w:pPr>
        <w:spacing w:after="40" w:before="40" w:line="264" w:lineRule="auto"/>
        <w:rPr/>
      </w:pPr>
      <w:r w:rsidDel="00000000" w:rsidR="00000000" w:rsidRPr="00000000">
        <w:rPr>
          <w:color w:val="1a1a1a"/>
          <w:rtl w:val="0"/>
        </w:rPr>
        <w:t xml:space="preserve">What matters here is the thinking, not the format. The presentation is deliberately ambiguous: three findings in the same leg, each pointing somewhere different. The model does not need to land on one definitive diagnosis. It does need to commit to a most-likely diagnosis, name what else it is considering and why, and show a plan that covers its bases. The golden answer leads with cellulitis as the working diagnosis, flags DVT as something that should be evaluated even though the patient is anticoagulated, and treats the knee as a wildcard that should be tapped before assuming gout. That reasoning chain is the core of the task. The golden answer takes firm positions on certain calls — a model that reaches a different conclusion on a judgment call but shows sound clinical reasoning for doing so should not be penalised for deviating from the golden file. A model that recognises the ambiguity, accounts for it, and counsels the patient accordingly has done the job. A model that picks one diagnosis and ignores the others, or lists differentials without connecting them to a plan, is missing the point of the task.</w:t>
      </w:r>
      <w:r w:rsidDel="00000000" w:rsidR="00000000" w:rsidRPr="00000000">
        <w:rPr>
          <w:rtl w:val="0"/>
        </w:rPr>
      </w:r>
    </w:p>
    <w:p w:rsidR="00000000" w:rsidDel="00000000" w:rsidP="00000000" w:rsidRDefault="00000000" w:rsidRPr="00000000" w14:paraId="00000006">
      <w:pPr>
        <w:spacing w:after="40" w:before="160" w:lineRule="auto"/>
        <w:rPr/>
      </w:pPr>
      <w:r w:rsidDel="00000000" w:rsidR="00000000" w:rsidRPr="00000000">
        <w:rPr>
          <w:b w:val="1"/>
          <w:bCs w:val="1"/>
          <w:color w:val="2b2b2b"/>
          <w:rtl w:val="0"/>
        </w:rPr>
        <w:t xml:space="preserve">── B) SCOPE AND LENGTH</w:t>
      </w:r>
      <w:r w:rsidDel="00000000" w:rsidR="00000000" w:rsidRPr="00000000">
        <w:rPr>
          <w:rtl w:val="0"/>
        </w:rPr>
      </w:r>
    </w:p>
    <w:p w:rsidR="00000000" w:rsidDel="00000000" w:rsidP="00000000" w:rsidRDefault="00000000" w:rsidRPr="00000000" w14:paraId="00000007">
      <w:pPr>
        <w:spacing w:after="40" w:before="40" w:line="264" w:lineRule="auto"/>
        <w:rPr/>
      </w:pPr>
      <w:r w:rsidDel="00000000" w:rsidR="00000000" w:rsidRPr="00000000">
        <w:rPr>
          <w:color w:val="1a1a1a"/>
          <w:rtl w:val="0"/>
        </w:rPr>
        <w:t xml:space="preserve">This is an urgent care note, not a medicine admission. The golden answer’s assessment and plan is two short paragraphs of clinical shorthand. That is the benchmark. The subjective integrates the hospitalisation context in a few sentences because it shapes the differential, not because the note needs to retell the hospital course. The physical exam and review of systems should document what was actually provided in the prompt and triage form — everything else is reasonably left as a placeholder. A model that fabricates normal findings for body systems that were never examined, or invents a full review of systems with detailed negatives that were never asked, is producing unsupported content. Placeholders or simply omitting unreported components are both acceptable approaches. Do not penalise structural variation. Clinical reasoning is the primary scoring dimension for this task. A note that demonstrates sound diagnostic thinking but is longer or more structured than the golden answer is a better note than one that matches the golden’s brevity but misses the clinical reasoning.</w:t>
      </w:r>
      <w:r w:rsidDel="00000000" w:rsidR="00000000" w:rsidRPr="00000000">
        <w:rPr>
          <w:rtl w:val="0"/>
        </w:rPr>
      </w:r>
    </w:p>
    <w:p w:rsidR="00000000" w:rsidDel="00000000" w:rsidP="00000000" w:rsidRDefault="00000000" w:rsidRPr="00000000" w14:paraId="00000008">
      <w:pPr>
        <w:spacing w:after="40" w:before="160" w:lineRule="auto"/>
        <w:rPr/>
      </w:pPr>
      <w:r w:rsidDel="00000000" w:rsidR="00000000" w:rsidRPr="00000000">
        <w:rPr>
          <w:b w:val="1"/>
          <w:bCs w:val="1"/>
          <w:color w:val="2b2b2b"/>
          <w:rtl w:val="0"/>
        </w:rPr>
        <w:t xml:space="preserve">── C) GOOD PRACTICE — SHOWN IN GOLDEN ANSWER, NOT REQUIRED</w:t>
      </w:r>
      <w:r w:rsidDel="00000000" w:rsidR="00000000" w:rsidRPr="00000000">
        <w:rPr>
          <w:rtl w:val="0"/>
        </w:rPr>
      </w:r>
    </w:p>
    <w:p w:rsidR="00000000" w:rsidDel="00000000" w:rsidP="00000000" w:rsidRDefault="00000000" w:rsidRPr="00000000" w14:paraId="00000009">
      <w:pPr>
        <w:spacing w:after="40" w:before="40" w:line="264" w:lineRule="auto"/>
        <w:rPr/>
      </w:pPr>
      <w:r w:rsidDel="00000000" w:rsidR="00000000" w:rsidRPr="00000000">
        <w:rPr>
          <w:color w:val="1a1a1a"/>
          <w:rtl w:val="0"/>
        </w:rPr>
        <w:t xml:space="preserve">Credit where present; do not penalise for absence. Calculating when the steroid taper ended to contextualise the immunocompromised state. Naming patient-specific reasons this patient might flare his gout (furosemide, CKD, recent stress) rather than generic risk factors. Picking up on the “mostly” adherence comment as a reason anticoagulation may be subtherapeutic. Mentioning that metformin and spironolactone restart decisions are still pending from discharge. Conditional disposition that maps specific results to specific next steps. Tying antibiotic choice to the documented sulfa allergy.</w:t>
      </w:r>
      <w:r w:rsidDel="00000000" w:rsidR="00000000" w:rsidRPr="00000000">
        <w:rPr>
          <w:rtl w:val="0"/>
        </w:rPr>
      </w:r>
    </w:p>
    <w:p w:rsidR="00000000" w:rsidDel="00000000" w:rsidP="00000000" w:rsidRDefault="00000000" w:rsidRPr="00000000" w14:paraId="0000000A">
      <w:pPr>
        <w:spacing w:after="40" w:before="160" w:lineRule="auto"/>
        <w:rPr/>
      </w:pPr>
      <w:r w:rsidDel="00000000" w:rsidR="00000000" w:rsidRPr="00000000">
        <w:rPr>
          <w:b w:val="1"/>
          <w:bCs w:val="1"/>
          <w:color w:val="2b2b2b"/>
          <w:rtl w:val="0"/>
        </w:rPr>
        <w:t xml:space="preserve">── D) KNOWN ERRORS — PENALISE FOR</w:t>
      </w:r>
      <w:r w:rsidDel="00000000" w:rsidR="00000000" w:rsidRPr="00000000">
        <w:rPr>
          <w:rtl w:val="0"/>
        </w:rPr>
      </w:r>
    </w:p>
    <w:p w:rsidR="00000000" w:rsidDel="00000000" w:rsidP="00000000" w:rsidRDefault="00000000" w:rsidRPr="00000000" w14:paraId="0000000B">
      <w:pPr>
        <w:spacing w:after="40" w:before="40" w:line="264" w:lineRule="auto"/>
        <w:rPr/>
      </w:pPr>
      <w:r w:rsidDel="00000000" w:rsidR="00000000" w:rsidRPr="00000000">
        <w:rPr>
          <w:color w:val="1a1a1a"/>
          <w:rtl w:val="0"/>
        </w:rPr>
        <w:t xml:space="preserve">The most common failure pattern is an assessment and plan that reads like an internal medicine case presentation: academic-length discussion of each differential with textbook-level detail. The issue is not whether the A&amp;P uses numbered problems or narrative paragraphs — either structure can work — but whether the content is appropriately scoped for an urgent care encounter. An A&amp;P that covers the key differentials and plan concisely in a numbered format is not a scope failure. An A&amp;P that devotes a paragraph to each differential with literature citations is. Models also tend to dismiss DVT once they see apixaban on the medication list, or they mention it in passing without actually ordering imaging — listing a diagnosis without acting on it is not the same as working it up. A related pattern: models see the gout history and jump straight to treating a flare without considering that a febrile immunocompromised patient with a hot knee should generally be tapped first. On the medication side, models reflexively reach for NSAIDs for pain or joint inflammation without adequately weighing the contraindications in this patient (recent GI bleed, anticoagulation, CKD, CHF). Finally, models fill in the physical exam and review of systems with plausible but unsourced findings rather than acknowledging what was and was not actually examined.</w:t>
      </w:r>
      <w:r w:rsidDel="00000000" w:rsidR="00000000" w:rsidRPr="00000000">
        <w:rPr>
          <w:rtl w:val="0"/>
        </w:rPr>
      </w:r>
    </w:p>
    <w:p w:rsidR="00000000" w:rsidDel="00000000" w:rsidP="00000000" w:rsidRDefault="00000000" w:rsidRPr="00000000" w14:paraId="0000000C">
      <w:pPr>
        <w:spacing w:after="40" w:before="160" w:lineRule="auto"/>
        <w:rPr/>
      </w:pPr>
      <w:r w:rsidDel="00000000" w:rsidR="00000000" w:rsidRPr="00000000">
        <w:rPr>
          <w:b w:val="1"/>
          <w:bCs w:val="1"/>
          <w:color w:val="2b2b2b"/>
          <w:rtl w:val="0"/>
        </w:rPr>
        <w:t xml:space="preserve">── SCORING</w:t>
      </w:r>
      <w:r w:rsidDel="00000000" w:rsidR="00000000" w:rsidRPr="00000000">
        <w:rPr>
          <w:rtl w:val="0"/>
        </w:rPr>
      </w:r>
    </w:p>
    <w:p w:rsidR="00000000" w:rsidDel="00000000" w:rsidP="00000000" w:rsidRDefault="00000000" w:rsidRPr="00000000" w14:paraId="0000000D">
      <w:pPr>
        <w:spacing w:after="40" w:before="40" w:line="264" w:lineRule="auto"/>
        <w:rPr/>
      </w:pPr>
      <w:r w:rsidDel="00000000" w:rsidR="00000000" w:rsidRPr="00000000">
        <w:rPr>
          <w:color w:val="1a1a1a"/>
          <w:rtl w:val="0"/>
        </w:rPr>
        <w:t xml:space="preserve">Provide a single score between 0–1 with reasoning. Format: &lt;reasoning&gt;...&lt;/reasoning&gt;&lt;score&gt;...&lt;/score&gt;</w:t>
      </w:r>
      <w:r w:rsidDel="00000000" w:rsidR="00000000" w:rsidRPr="00000000">
        <w:rPr>
          <w:rtl w:val="0"/>
        </w:rPr>
      </w:r>
    </w:p>
    <w:p w:rsidR="00000000" w:rsidDel="00000000" w:rsidP="00000000" w:rsidRDefault="00000000" w:rsidRPr="00000000" w14:paraId="0000000E">
      <w:pPr>
        <w:spacing w:after="40" w:before="40" w:line="264" w:lineRule="auto"/>
        <w:rPr>
          <w:color w:val="1a1a1a"/>
        </w:rPr>
      </w:pPr>
      <w:r w:rsidDel="00000000" w:rsidR="00000000" w:rsidRPr="00000000">
        <w:rPr>
          <w:rtl w:val="0"/>
        </w:rPr>
      </w:r>
    </w:p>
    <w:sectPr>
      <w:pgSz w:h="15840" w:w="12240" w:orient="portrait"/>
      <w:pgMar w:bottom="540" w:top="72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VdKF9ZRAq2Z21UtjzrgI2Y8TuQ==">CgMxLjA4AHIhMXBfS1JHdkNOd2ROV0VjWERqSzRPZ0lFNnlrejM0bDdC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