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before="30" w:line="254" w:lineRule="auto"/>
        <w:rPr/>
      </w:pPr>
      <w:r w:rsidDel="00000000" w:rsidR="00000000" w:rsidRPr="00000000">
        <w:rPr>
          <w:rFonts w:ascii="Arial" w:cs="Arial" w:eastAsia="Arial" w:hAnsi="Arial"/>
          <w:color w:val="1a1a1a"/>
          <w:sz w:val="20"/>
          <w:szCs w:val="20"/>
          <w:rtl w:val="0"/>
        </w:rPr>
        <w:t xml:space="preserve">You are reviewing a pre-operative medical clearance note for Harold Pemberton, a 74-year-old male referred for ORIF of a right proximal humerus fracture after a workplace fall. He was discharged 4 weeks earlier from an 11-day hospitalization (COPD exacerbation, new HFrEF EF 30%, GI hemorrhage s/p IR embolization, ICU/AKI, multiple medication changes). His daughter provided a discharge medication list. The model has access to the full hospital record.</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rFonts w:ascii="Arial" w:cs="Arial" w:eastAsia="Arial" w:hAnsi="Arial"/>
          <w:b w:val="1"/>
          <w:bCs w:val="1"/>
          <w:color w:val="2b2b2b"/>
          <w:sz w:val="20"/>
          <w:szCs w:val="20"/>
          <w:rtl w:val="0"/>
        </w:rPr>
        <w:t xml:space="preserve">── GOLDEN REFERENCE</w:t>
      </w:r>
      <w:r w:rsidDel="00000000" w:rsidR="00000000" w:rsidRPr="00000000">
        <w:rPr>
          <w:rtl w:val="0"/>
        </w:rPr>
      </w:r>
    </w:p>
    <w:p w:rsidR="00000000" w:rsidDel="00000000" w:rsidP="00000000" w:rsidRDefault="00000000" w:rsidRPr="00000000" w14:paraId="00000003">
      <w:pPr>
        <w:spacing w:after="30" w:before="30" w:line="254" w:lineRule="auto"/>
        <w:rPr/>
      </w:pPr>
      <w:r w:rsidDel="00000000" w:rsidR="00000000" w:rsidRPr="00000000">
        <w:rPr>
          <w:rFonts w:ascii="Arial" w:cs="Arial" w:eastAsia="Arial" w:hAnsi="Arial"/>
          <w:color w:val="1a1a1a"/>
          <w:sz w:val="20"/>
          <w:szCs w:val="20"/>
          <w:rtl w:val="0"/>
        </w:rPr>
        <w:t xml:space="preserve">Open Golden_Answer_PreOp_Clearance.docx before grading. This is an example of a correct answer for this task. Use it as your benchmark across the sections below.</w:t>
      </w:r>
      <w:r w:rsidDel="00000000" w:rsidR="00000000" w:rsidRPr="00000000">
        <w:rPr>
          <w:rtl w:val="0"/>
        </w:rPr>
      </w:r>
    </w:p>
    <w:p w:rsidR="00000000" w:rsidDel="00000000" w:rsidP="00000000" w:rsidRDefault="00000000" w:rsidRPr="00000000" w14:paraId="00000004">
      <w:pPr>
        <w:spacing w:after="40" w:before="160" w:lineRule="auto"/>
        <w:rPr/>
      </w:pPr>
      <w:r w:rsidDel="00000000" w:rsidR="00000000" w:rsidRPr="00000000">
        <w:rPr>
          <w:rFonts w:ascii="Arial" w:cs="Arial" w:eastAsia="Arial" w:hAnsi="Arial"/>
          <w:b w:val="1"/>
          <w:bCs w:val="1"/>
          <w:color w:val="2b2b2b"/>
          <w:sz w:val="20"/>
          <w:szCs w:val="20"/>
          <w:rtl w:val="0"/>
        </w:rPr>
        <w:t xml:space="preserve">── A) PERIOPERATIVE RISK RECOGNITION — MUST BE PRESENT AND CORRECT</w:t>
      </w:r>
      <w:r w:rsidDel="00000000" w:rsidR="00000000" w:rsidRPr="00000000">
        <w:rPr>
          <w:rtl w:val="0"/>
        </w:rPr>
      </w:r>
    </w:p>
    <w:p w:rsidR="00000000" w:rsidDel="00000000" w:rsidP="00000000" w:rsidRDefault="00000000" w:rsidRPr="00000000" w14:paraId="00000005">
      <w:pPr>
        <w:spacing w:after="30" w:before="30" w:line="254" w:lineRule="auto"/>
        <w:rPr/>
      </w:pPr>
      <w:r w:rsidDel="00000000" w:rsidR="00000000" w:rsidRPr="00000000">
        <w:rPr>
          <w:rFonts w:ascii="Arial" w:cs="Arial" w:eastAsia="Arial" w:hAnsi="Arial"/>
          <w:color w:val="1a1a1a"/>
          <w:sz w:val="20"/>
          <w:szCs w:val="20"/>
          <w:rtl w:val="0"/>
        </w:rPr>
        <w:t xml:space="preserve">This looks like a routine shoulder fix but the recent medical history makes it anything but. The core of the task is whether the model recognises that and engages with the complexity rather than writing a boilerplate clearance. Think of it this way: this patient recently survived a multi-system crisis. Now someone wants to put him under general anesthesia. The note should show the provider thinking through what could go wrong and what needs to happen before surgery proceeds safely. </w:t>
      </w:r>
      <w:r w:rsidDel="00000000" w:rsidR="00000000" w:rsidRPr="00000000">
        <w:rPr>
          <w:rFonts w:ascii="Arial" w:cs="Arial" w:eastAsia="Arial" w:hAnsi="Arial"/>
          <w:color w:val="1a1a1a"/>
          <w:sz w:val="20"/>
          <w:szCs w:val="20"/>
          <w:rtl w:val="0"/>
        </w:rPr>
        <w:t xml:space="preserve">The golden answer works through cardiac risk, the anticoagulation dilemma, renal status, pulmonary baseline, steroid stress-dosing, and the perioperative med plan — but how deep the model goes on each is a matter of clinical judgment. A model that reasons differently from the golden file with sound logic should not be penalised for it.</w:t>
      </w:r>
      <w:r w:rsidDel="00000000" w:rsidR="00000000" w:rsidRPr="00000000">
        <w:rPr>
          <w:rtl w:val="0"/>
        </w:rPr>
      </w:r>
    </w:p>
    <w:p w:rsidR="00000000" w:rsidDel="00000000" w:rsidP="00000000" w:rsidRDefault="00000000" w:rsidRPr="00000000" w14:paraId="00000006">
      <w:pPr>
        <w:spacing w:after="40" w:before="160" w:lineRule="auto"/>
        <w:rPr/>
      </w:pPr>
      <w:r w:rsidDel="00000000" w:rsidR="00000000" w:rsidRPr="00000000">
        <w:rPr>
          <w:rFonts w:ascii="Arial" w:cs="Arial" w:eastAsia="Arial" w:hAnsi="Arial"/>
          <w:b w:val="1"/>
          <w:bCs w:val="1"/>
          <w:color w:val="2b2b2b"/>
          <w:sz w:val="20"/>
          <w:szCs w:val="20"/>
          <w:rtl w:val="0"/>
        </w:rPr>
        <w:t xml:space="preserve">── B) SCOPE AND FORMAT</w:t>
      </w:r>
      <w:r w:rsidDel="00000000" w:rsidR="00000000" w:rsidRPr="00000000">
        <w:rPr>
          <w:rtl w:val="0"/>
        </w:rPr>
      </w:r>
    </w:p>
    <w:p w:rsidR="00000000" w:rsidDel="00000000" w:rsidP="00000000" w:rsidRDefault="00000000" w:rsidRPr="00000000" w14:paraId="00000007">
      <w:pPr>
        <w:spacing w:after="30" w:before="30" w:line="254" w:lineRule="auto"/>
        <w:rPr/>
      </w:pPr>
      <w:r w:rsidDel="00000000" w:rsidR="00000000" w:rsidRPr="00000000">
        <w:rPr>
          <w:rFonts w:ascii="Arial" w:cs="Arial" w:eastAsia="Arial" w:hAnsi="Arial"/>
          <w:color w:val="1a1a1a"/>
          <w:sz w:val="20"/>
          <w:szCs w:val="20"/>
          <w:rtl w:val="0"/>
        </w:rPr>
        <w:t xml:space="preserve">The output should read as a pre-op clearance document — not a medicine progress note, not a hospital course summary. The golden answer uses a structured clearance format but other approaches are fine as long as the perioperative thinking is visible. Key nuance: the prompt asks the model to help write the clearance, and the provider has not specified which labs to order or what exam findings look like. The model should recommend diagnostics and use placeholders or conditional language for anything not yet available. Fabricating specific vitals, exam findings, or lab values that were never provided is unsupported content.</w:t>
      </w:r>
      <w:r w:rsidDel="00000000" w:rsidR="00000000" w:rsidRPr="00000000">
        <w:rPr>
          <w:rtl w:val="0"/>
        </w:rPr>
      </w:r>
    </w:p>
    <w:p w:rsidR="00000000" w:rsidDel="00000000" w:rsidP="00000000" w:rsidRDefault="00000000" w:rsidRPr="00000000" w14:paraId="00000008">
      <w:pPr>
        <w:spacing w:after="40" w:before="160" w:lineRule="auto"/>
        <w:rPr/>
      </w:pPr>
      <w:r w:rsidDel="00000000" w:rsidR="00000000" w:rsidRPr="00000000">
        <w:rPr>
          <w:rFonts w:ascii="Arial" w:cs="Arial" w:eastAsia="Arial" w:hAnsi="Arial"/>
          <w:b w:val="1"/>
          <w:bCs w:val="1"/>
          <w:color w:val="2b2b2b"/>
          <w:sz w:val="20"/>
          <w:szCs w:val="20"/>
          <w:rtl w:val="0"/>
        </w:rPr>
        <w:t xml:space="preserve">── C) GOOD PRACTICE — SHOWN IN GOLDEN ANSWER, NOT REQUIRED</w:t>
      </w:r>
      <w:r w:rsidDel="00000000" w:rsidR="00000000" w:rsidRPr="00000000">
        <w:rPr>
          <w:rtl w:val="0"/>
        </w:rPr>
      </w:r>
    </w:p>
    <w:p w:rsidR="00000000" w:rsidDel="00000000" w:rsidP="00000000" w:rsidRDefault="00000000" w:rsidRPr="00000000" w14:paraId="00000009">
      <w:pPr>
        <w:spacing w:after="30" w:before="30" w:line="254" w:lineRule="auto"/>
        <w:rPr/>
      </w:pPr>
      <w:r w:rsidDel="00000000" w:rsidR="00000000" w:rsidRPr="00000000">
        <w:rPr>
          <w:rFonts w:ascii="Arial" w:cs="Arial" w:eastAsia="Arial" w:hAnsi="Arial"/>
          <w:color w:val="1a1a1a"/>
          <w:sz w:val="20"/>
          <w:szCs w:val="20"/>
          <w:rtl w:val="0"/>
        </w:rPr>
        <w:t xml:space="preserve">Credit where present; do not penalise for absence. Formal RCRI scoring that honestly flags which criteria depend on labs not yet available. ASA classification w/ rationale. Med-by-med hold/continue reasoning rather than generic “hold anticoagulation.” Flagging that the last echo is ~5 weeks old. Using the patient’s job to estimate METs. Recognising that the anticoag plan needs multi-service coordination rather than a unilateral hold. Calculating steroid taper timing relative to surgery.</w:t>
      </w:r>
      <w:r w:rsidDel="00000000" w:rsidR="00000000" w:rsidRPr="00000000">
        <w:rPr>
          <w:rtl w:val="0"/>
        </w:rPr>
      </w:r>
    </w:p>
    <w:p w:rsidR="00000000" w:rsidDel="00000000" w:rsidP="00000000" w:rsidRDefault="00000000" w:rsidRPr="00000000" w14:paraId="0000000A">
      <w:pPr>
        <w:spacing w:after="40" w:before="160" w:lineRule="auto"/>
        <w:rPr/>
      </w:pPr>
      <w:r w:rsidDel="00000000" w:rsidR="00000000" w:rsidRPr="00000000">
        <w:rPr>
          <w:rFonts w:ascii="Arial" w:cs="Arial" w:eastAsia="Arial" w:hAnsi="Arial"/>
          <w:b w:val="1"/>
          <w:bCs w:val="1"/>
          <w:color w:val="2b2b2b"/>
          <w:sz w:val="20"/>
          <w:szCs w:val="20"/>
          <w:rtl w:val="0"/>
        </w:rPr>
        <w:t xml:space="preserve">── D) KNOWN ERRORS — PENALISE FOR</w:t>
      </w:r>
      <w:r w:rsidDel="00000000" w:rsidR="00000000" w:rsidRPr="00000000">
        <w:rPr>
          <w:rtl w:val="0"/>
        </w:rPr>
      </w:r>
    </w:p>
    <w:p w:rsidR="00000000" w:rsidDel="00000000" w:rsidP="00000000" w:rsidRDefault="00000000" w:rsidRPr="00000000" w14:paraId="0000000B">
      <w:pPr>
        <w:spacing w:after="30" w:before="30" w:line="254" w:lineRule="auto"/>
        <w:rPr/>
      </w:pPr>
      <w:r w:rsidDel="00000000" w:rsidR="00000000" w:rsidRPr="00000000">
        <w:rPr>
          <w:rFonts w:ascii="Arial" w:cs="Arial" w:eastAsia="Arial" w:hAnsi="Arial"/>
          <w:color w:val="1a1a1a"/>
          <w:sz w:val="20"/>
          <w:szCs w:val="20"/>
          <w:rtl w:val="0"/>
        </w:rPr>
        <w:t xml:space="preserve">Models see “shoulder surgery” and produce a generic clearance that could apply to any patient. The EF 30% sits in the history without connecting to perioperative risk or a cardiology consult. Models apply a textbook anticoag hold — stop apixaban, bridge w/ heparin — without recognising that bridging someone who had a GI bleed and IR embolization 5 weeks ago is a fundamentally different risk calculation. Models assume renal function normalised because it’s been a month; Cr was 1.8 at discharge with AKI not resolved, and current function matters for RCRI, anesthesia, and med dosing. The steroid question gets skipped: ~3 weeks of supraphysiologic steroids ending 3-4 weeks before surgery is the exact window for HPA suppression concern. Models use pre-admission meds instead of the discharge list. Models fabricate exam findings or lab results the prompt never provided.</w:t>
      </w:r>
      <w:r w:rsidDel="00000000" w:rsidR="00000000" w:rsidRPr="00000000">
        <w:rPr>
          <w:rtl w:val="0"/>
        </w:rPr>
      </w:r>
    </w:p>
    <w:p w:rsidR="00000000" w:rsidDel="00000000" w:rsidP="00000000" w:rsidRDefault="00000000" w:rsidRPr="00000000" w14:paraId="0000000C">
      <w:pPr>
        <w:spacing w:after="40" w:before="160" w:lineRule="auto"/>
        <w:rPr/>
      </w:pPr>
      <w:r w:rsidDel="00000000" w:rsidR="00000000" w:rsidRPr="00000000">
        <w:rPr>
          <w:rFonts w:ascii="Arial" w:cs="Arial" w:eastAsia="Arial" w:hAnsi="Arial"/>
          <w:b w:val="1"/>
          <w:bCs w:val="1"/>
          <w:color w:val="2b2b2b"/>
          <w:sz w:val="20"/>
          <w:szCs w:val="20"/>
          <w:rtl w:val="0"/>
        </w:rPr>
        <w:t xml:space="preserve">── SCORING</w:t>
      </w:r>
      <w:r w:rsidDel="00000000" w:rsidR="00000000" w:rsidRPr="00000000">
        <w:rPr>
          <w:rtl w:val="0"/>
        </w:rPr>
      </w:r>
    </w:p>
    <w:p w:rsidR="00000000" w:rsidDel="00000000" w:rsidP="00000000" w:rsidRDefault="00000000" w:rsidRPr="00000000" w14:paraId="0000000D">
      <w:pPr>
        <w:spacing w:after="30" w:before="30" w:line="254" w:lineRule="auto"/>
        <w:rPr/>
      </w:pPr>
      <w:r w:rsidDel="00000000" w:rsidR="00000000" w:rsidRPr="00000000">
        <w:rPr>
          <w:rFonts w:ascii="Arial" w:cs="Arial" w:eastAsia="Arial" w:hAnsi="Arial"/>
          <w:color w:val="1a1a1a"/>
          <w:sz w:val="20"/>
          <w:szCs w:val="20"/>
          <w:rtl w:val="0"/>
        </w:rPr>
        <w:t xml:space="preserve">Provide a single score between 0–1 with reasoning. Format: &lt;reasoning&gt;...&lt;/reasoning&gt;&lt;score&gt;...&lt;/score&gt;</w:t>
      </w:r>
      <w:r w:rsidDel="00000000" w:rsidR="00000000" w:rsidRPr="00000000">
        <w:rPr>
          <w:rtl w:val="0"/>
        </w:rPr>
      </w:r>
    </w:p>
    <w:sectPr>
      <w:pgSz w:h="15840" w:w="12240" w:orient="portrait"/>
      <w:pgMar w:bottom="540" w:top="72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DG2BtWGX2dkvJ54K3Y5nUPNbBQ==">CgMxLjA4AHIhMWV6MzdwMkNncVVscHB4R0Q5OS1PaTNmV1JvZWxQT3RE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