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Fonts w:ascii="Arial" w:cs="Arial" w:eastAsia="Arial" w:hAnsi="Arial"/>
          <w:sz w:val="22"/>
          <w:szCs w:val="22"/>
          <w:rtl w:val="0"/>
        </w:rPr>
        <w:t xml:space="preserve">You are reviewing an urgent care ambulatory SOAP note for Harold Pemberton, a 74-year-old male who presents to Haven Urgent Care 14 days after discharge from a complicated 11-day hospitalization. The patient’s exam findings surface-read as COPD exacerbation. The correct assessment requires integrating the 27 world files to identify HF decompensation and recurrent GI hemorrhage risk as the primary drivers.</w:t>
      </w: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Fonts w:ascii="Arial" w:cs="Arial" w:eastAsia="Arial" w:hAnsi="Arial"/>
          <w:b w:val="1"/>
          <w:bCs w:val="1"/>
          <w:color w:val="2e75b6"/>
          <w:sz w:val="28"/>
          <w:szCs w:val="28"/>
          <w:rtl w:val="0"/>
        </w:rPr>
        <w:t xml:space="preserve">── GOLDEN ANSWER</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Arial" w:cs="Arial" w:eastAsia="Arial" w:hAnsi="Arial"/>
          <w:sz w:val="22"/>
          <w:szCs w:val="22"/>
          <w:rtl w:val="0"/>
        </w:rPr>
        <w:t xml:space="preserve">Open Golden_Answer_UC_SOAP_Dyspnea.docx before grading. This is an example of a correct answer for this task. Use it as your benchmark across the sections below.</w:t>
      </w: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Fonts w:ascii="Arial" w:cs="Arial" w:eastAsia="Arial" w:hAnsi="Arial"/>
          <w:b w:val="1"/>
          <w:bCs w:val="1"/>
          <w:color w:val="2e75b6"/>
          <w:sz w:val="28"/>
          <w:szCs w:val="28"/>
          <w:rtl w:val="0"/>
        </w:rPr>
        <w:t xml:space="preserve">── A) CLINICAL REASONING — MUST BE PRESENT AND CORRECT</w:t>
      </w: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Arial" w:cs="Arial" w:eastAsia="Arial" w:hAnsi="Arial"/>
          <w:sz w:val="22"/>
          <w:szCs w:val="22"/>
          <w:rtl w:val="0"/>
        </w:rPr>
        <w:t xml:space="preserve">What matters here is whether the model can look past the surface presentation. The exam is designed to read as a COPD exacerbation — wheezing is the most prominent finding and the patient says he was hospitalized for his lungs. But the full picture does not fit COPD alone: crackles, edema, pallor, tachycardia, and severe hypoxemia in a patient whose HF medications were recently reduced all point toward a different primary process. The golden answer identifies acute decompensated HF as the lead diagnosis and connects it to specific discharge medication changes found in the world files, while flagging recurrent GI hemorrhage as a concurrent concern given the patient’s recent surgical history and anticoagulation status. That reasoning chain is the core of the task. A model that reaches the same conclusions through different language or emphasis should not be penalized for deviating from the golden file. A model that treats this as straightforward COPD without reconciling the findings that do not fit, or that mentions HF without demonstrating it came from the world files rather than pattern-matching, is missing the point.</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Arial" w:cs="Arial" w:eastAsia="Arial" w:hAnsi="Arial"/>
          <w:sz w:val="22"/>
          <w:szCs w:val="22"/>
          <w:rtl w:val="0"/>
        </w:rPr>
        <w:t xml:space="preserve">The note must contain information that could only come from the 27 attached files. If the subjective section contains only what the patient reported in the prompt and the assessment could have been written without the hospital records, the agent did not perform the task. The golde</w:t>
      </w:r>
      <w:sdt>
        <w:sdtPr>
          <w:id w:val="-914181137"/>
          <w:tag w:val="goog_rdk_0"/>
        </w:sdtPr>
        <w:sdtContent>
          <w:commentRangeStart w:id="0"/>
        </w:sdtContent>
      </w:sdt>
      <w:r w:rsidDel="00000000" w:rsidR="00000000" w:rsidRPr="00000000">
        <w:rPr>
          <w:rFonts w:ascii="Arial" w:cs="Arial" w:eastAsia="Arial" w:hAnsi="Arial"/>
          <w:sz w:val="22"/>
          <w:szCs w:val="22"/>
          <w:rtl w:val="0"/>
        </w:rPr>
        <w:t xml:space="preserve">n answer also transfers the patient to the ED — given the severity of the presentation, the case for transfer is strong, and managing this patient in the urgent care setting would represent a significant clinical risk.</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Fonts w:ascii="Arial" w:cs="Arial" w:eastAsia="Arial" w:hAnsi="Arial"/>
          <w:b w:val="1"/>
          <w:bCs w:val="1"/>
          <w:color w:val="2e75b6"/>
          <w:sz w:val="28"/>
          <w:szCs w:val="28"/>
          <w:rtl w:val="0"/>
        </w:rPr>
        <w:t xml:space="preserve">── B) SCOPE AND FORMAT</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Arial" w:cs="Arial" w:eastAsia="Arial" w:hAnsi="Arial"/>
          <w:sz w:val="22"/>
          <w:szCs w:val="22"/>
          <w:rtl w:val="0"/>
        </w:rPr>
        <w:t xml:space="preserve">This is </w:t>
      </w:r>
      <w:sdt>
        <w:sdtPr>
          <w:id w:val="-1176684611"/>
          <w:tag w:val="goog_rdk_1"/>
        </w:sdtPr>
        <w:sdtContent>
          <w:commentRangeStart w:id="1"/>
        </w:sdtContent>
      </w:sdt>
      <w:r w:rsidDel="00000000" w:rsidR="00000000" w:rsidRPr="00000000">
        <w:rPr>
          <w:rFonts w:ascii="Arial" w:cs="Arial" w:eastAsia="Arial" w:hAnsi="Arial"/>
          <w:sz w:val="22"/>
          <w:szCs w:val="22"/>
          <w:rtl w:val="0"/>
        </w:rPr>
        <w:t xml:space="preserve">an</w:t>
      </w:r>
      <w:commentRangeEnd w:id="1"/>
      <w:r w:rsidDel="00000000" w:rsidR="00000000" w:rsidRPr="00000000">
        <w:commentReference w:id="1"/>
      </w:r>
      <w:r w:rsidDel="00000000" w:rsidR="00000000" w:rsidRPr="00000000">
        <w:rPr>
          <w:rFonts w:ascii="Arial" w:cs="Arial" w:eastAsia="Arial" w:hAnsi="Arial"/>
          <w:sz w:val="22"/>
          <w:szCs w:val="22"/>
          <w:rtl w:val="0"/>
        </w:rPr>
        <w:t xml:space="preserve"> urgent care note, not a medicine admission. The golden answer’s assessment is a short paragraph of clinical shorthand. That is the benchmark. Penalize meaningfully — not as a style note — for consult-length output, prescribing specific ED workup, or recommending medication adjustments or inpatient-level management planning. The output must remain appropriate for urgent care scope — any treatment plan beyond stabilization and transfer is out of setting. Do not penalize for SOAP formatting choices, abbreviation style, exact differential ordering, section length, or level of plan detail — real UC notes vary widely in structure.</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Fonts w:ascii="Arial" w:cs="Arial" w:eastAsia="Arial" w:hAnsi="Arial"/>
          <w:b w:val="1"/>
          <w:bCs w:val="1"/>
          <w:color w:val="2e75b6"/>
          <w:sz w:val="28"/>
          <w:szCs w:val="28"/>
          <w:rtl w:val="0"/>
        </w:rPr>
        <w:t xml:space="preserve">── C) GOOD PRACTICE — SHOWN IN GOLDEN ANSWER, NOT REQUIRED</w:t>
      </w: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Arial" w:cs="Arial" w:eastAsia="Arial" w:hAnsi="Arial"/>
          <w:sz w:val="22"/>
          <w:szCs w:val="22"/>
          <w:rtl w:val="0"/>
        </w:rPr>
        <w:t xml:space="preserve">Credit where present; do not penalize for absence. Identifying that trace edema is new relative to the discharge exam. Noting the prednisone taper was recently completed and its relevance to COPD or adrenal risk. Connecting epigastric tenderness specifically to the known gastric ulcer site. Noting PE risk factors from recent hospitalization and immobility. Specifying O2 target of 88–92% given COPD.</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Fonts w:ascii="Arial" w:cs="Arial" w:eastAsia="Arial" w:hAnsi="Arial"/>
          <w:b w:val="1"/>
          <w:bCs w:val="1"/>
          <w:color w:val="2e75b6"/>
          <w:sz w:val="28"/>
          <w:szCs w:val="28"/>
          <w:rtl w:val="0"/>
        </w:rPr>
        <w:t xml:space="preserve">── D) KNOWN ERRORS — PENALIZE FOR</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Arial" w:cs="Arial" w:eastAsia="Arial" w:hAnsi="Arial"/>
          <w:sz w:val="22"/>
          <w:szCs w:val="22"/>
          <w:rtl w:val="0"/>
        </w:rPr>
        <w:t xml:space="preserve">The exam in this task is designed to surface-read as a COPD exacerbation. Models that process the exam findings without integrating the world files will lock onto wheezing as the dominant signal and produce an assessment of “acute COPD exacerbation, likely infectious,” with pneumonia as an alternative and a generic transfer plan. This is the expected failure mode and it should be penalized heavily — the wheezing is real but it is not the primary process, and the crackles, edema, and tachycardia cannot be explained by bronchospasm alone.</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Arial" w:cs="Arial" w:eastAsia="Arial" w:hAnsi="Arial"/>
          <w:sz w:val="22"/>
          <w:szCs w:val="22"/>
          <w:rtl w:val="0"/>
        </w:rPr>
        <w:t xml:space="preserve">A subtler version of this failure: models extract the comorbidity list from the world files and include it in the S section, creating the appearance of synthesis, but never connect the medication reductions to the current presentation. Listing that the patient has HFrEF is not the same as reasoning through why volume overload followed from the discharge medication changes. Data extraction without clinical reasoning should be treated as a partial failure, not a passing answer.</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sz w:val="22"/>
          <w:szCs w:val="22"/>
          <w:rtl w:val="0"/>
        </w:rPr>
        <w:t xml:space="preserve">Models also tend to list “anemia” generically on the differential without connecting it to the specific bleeding risk profile. </w:t>
      </w:r>
      <w:sdt>
        <w:sdtPr>
          <w:id w:val="824986575"/>
          <w:tag w:val="goog_rdk_2"/>
        </w:sdtPr>
        <w:sdtContent>
          <w:commentRangeStart w:id="2"/>
        </w:sdtContent>
      </w:sdt>
      <w:r w:rsidDel="00000000" w:rsidR="00000000" w:rsidRPr="00000000">
        <w:rPr>
          <w:rFonts w:ascii="Arial" w:cs="Arial" w:eastAsia="Arial" w:hAnsi="Arial"/>
          <w:sz w:val="22"/>
          <w:szCs w:val="22"/>
          <w:rtl w:val="0"/>
        </w:rPr>
        <w:t xml:space="preserve">In the same pattern, models interpret the epigastric tenderness as nonspecific or attribute it to gastritis, when in this patient the surgical history in the world files makes it a localizing finding.</w:t>
      </w:r>
      <w:commentRangeEnd w:id="2"/>
      <w:r w:rsidDel="00000000" w:rsidR="00000000" w:rsidRPr="00000000">
        <w:commentReference w:id="2"/>
      </w:r>
      <w:r w:rsidDel="00000000" w:rsidR="00000000" w:rsidRPr="00000000">
        <w:rPr>
          <w:rFonts w:ascii="Arial" w:cs="Arial" w:eastAsia="Arial" w:hAnsi="Arial"/>
          <w:sz w:val="22"/>
          <w:szCs w:val="22"/>
          <w:rtl w:val="0"/>
        </w:rPr>
        <w:t xml:space="preserve"> The connection between the exam and the records is what makes this clinically significant.</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Arial" w:cs="Arial" w:eastAsia="Arial" w:hAnsi="Arial"/>
          <w:sz w:val="22"/>
          <w:szCs w:val="22"/>
          <w:rtl w:val="0"/>
        </w:rPr>
        <w:t xml:space="preserve">On the management side, models with access to the full record set tend to over-document — producing consult-length notes with medication reconciliation, specific ED workup orders, or inpatient-level management plans. This is a scope failure. Urgent care stabilizes and transfers. A related pattern: models recommend nebulizer treatment as the primary intervention, treating the COPD surface-read while missing that the primary driver is likely pulmonary edema. Omitting oxygen supplementation entirely before transfer, or recommending private vehicle transport at SpO2 85%, are basic safety errors.</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Fonts w:ascii="Arial" w:cs="Arial" w:eastAsia="Arial" w:hAnsi="Arial"/>
          <w:b w:val="1"/>
          <w:bCs w:val="1"/>
          <w:color w:val="2e75b6"/>
          <w:sz w:val="28"/>
          <w:szCs w:val="28"/>
          <w:rtl w:val="0"/>
        </w:rPr>
        <w:t xml:space="preserve">── SCORING</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Arial" w:cs="Arial" w:eastAsia="Arial" w:hAnsi="Arial"/>
          <w:sz w:val="22"/>
          <w:szCs w:val="22"/>
          <w:rtl w:val="0"/>
        </w:rPr>
        <w:t xml:space="preserve">Provide a single score between 0–1 with reasoning.</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Arial" w:cs="Arial" w:eastAsia="Arial" w:hAnsi="Arial"/>
          <w:sz w:val="22"/>
          <w:szCs w:val="22"/>
          <w:rtl w:val="0"/>
        </w:rPr>
        <w:t xml:space="preserve">Format: &lt;reasoning&gt;...&lt;/reasoning&gt;&lt;score&gt;...&lt;/score&gt;</w:t>
      </w:r>
      <w:r w:rsidDel="00000000" w:rsidR="00000000" w:rsidRPr="00000000">
        <w:rPr>
          <w:rtl w:val="0"/>
        </w:rPr>
      </w:r>
    </w:p>
    <w:sectPr>
      <w:headerReference r:id="rId9" w:type="default"/>
      <w:footerReference r:id="rId10"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eph Lee" w:id="1" w:date="2026-03-31T02:26:10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say an ED transfer is not a typical urgent care note ?</w:t>
      </w:r>
    </w:p>
  </w:comment>
  <w:comment w:author="Joseph Lee" w:id="2" w:date="2026-03-31T02:27:47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more an assumption / present in your golden response and not needed here&gt;</w:t>
      </w:r>
    </w:p>
  </w:comment>
  <w:comment w:author="Joseph Lee" w:id="0" w:date="2026-03-31T02:24:23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prompt only asked to write the note and not about disposition?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1" w15:done="0"/>
  <w15:commentEx w15:paraId="00000022" w15:done="0"/>
  <w15:commentEx w15:paraId="0000002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center"/>
      <w:rPr/>
    </w:pPr>
    <w:r w:rsidDel="00000000" w:rsidR="00000000" w:rsidRPr="00000000">
      <w:rPr>
        <w:rFonts w:ascii="Arial" w:cs="Arial" w:eastAsia="Arial" w:hAnsi="Arial"/>
        <w:color w:val="666666"/>
        <w:sz w:val="16"/>
        <w:szCs w:val="16"/>
        <w:rtl w:val="0"/>
      </w:rPr>
      <w:t xml:space="preserve">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jc w:val="right"/>
      <w:rPr/>
    </w:pPr>
    <w:r w:rsidDel="00000000" w:rsidR="00000000" w:rsidRPr="00000000">
      <w:rPr>
        <w:rFonts w:ascii="Arial" w:cs="Arial" w:eastAsia="Arial" w:hAnsi="Arial"/>
        <w:color w:val="666666"/>
        <w:sz w:val="16"/>
        <w:szCs w:val="16"/>
        <w:rtl w:val="0"/>
      </w:rPr>
      <w:t xml:space="preserve">Grader Guideline  |  UC SOAP Note  |  Pemberton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8ueu6DOTLNSHiH9l/MF+fJVJg==">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2026-03-26T01:18:07.809Z</dcterms:created>
  <dc:creator>Un-named</dc:creator>
</cp:coreProperties>
</file>

<file path=docProps/custom.xml><?xml version="1.0" encoding="utf-8"?>
<Properties xmlns="http://schemas.openxmlformats.org/officeDocument/2006/custom-properties" xmlns:vt="http://schemas.openxmlformats.org/officeDocument/2006/docPropsVTypes"/>
</file>