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Fonts w:ascii="Arial" w:cs="Arial" w:eastAsia="Arial" w:hAnsi="Arial"/>
          <w:sz w:val="22"/>
          <w:szCs w:val="22"/>
          <w:rtl w:val="0"/>
        </w:rPr>
        <w:t xml:space="preserve">You are reviewing an ED provider note for Harold Pemberton, a 74-year-old male transferred from urgent care with acute dyspnea and hypoxemia requiring BiPAP. Full workup results are provided in the prompt. The agent must synthesize the ED presentation, lab/imaging results, and prior hospitalization records into a coherent ED note with appropriate medical decision-making and management.</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rFonts w:ascii="Arial" w:cs="Arial" w:eastAsia="Arial" w:hAnsi="Arial"/>
          <w:b w:val="1"/>
          <w:bCs w:val="1"/>
          <w:color w:val="2e75b6"/>
          <w:sz w:val="28"/>
          <w:szCs w:val="28"/>
          <w:rtl w:val="0"/>
        </w:rPr>
        <w:t xml:space="preserve">── GOLDEN ANSWER</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Arial" w:cs="Arial" w:eastAsia="Arial" w:hAnsi="Arial"/>
          <w:sz w:val="22"/>
          <w:szCs w:val="22"/>
          <w:rtl w:val="0"/>
        </w:rPr>
        <w:t xml:space="preserve">Open Golden_Answer_ED_Provider_Note.docx before grading. This is an example of a correct answer for this task. Use it as your benchmark across the sections below.</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Fonts w:ascii="Arial" w:cs="Arial" w:eastAsia="Arial" w:hAnsi="Arial"/>
          <w:b w:val="1"/>
          <w:bCs w:val="1"/>
          <w:color w:val="2e75b6"/>
          <w:sz w:val="28"/>
          <w:szCs w:val="28"/>
          <w:rtl w:val="0"/>
        </w:rPr>
        <w:t xml:space="preserve">── A) CLINICAL REASONING — MUST BE PRESENT AND CORRECT</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sz w:val="22"/>
          <w:szCs w:val="22"/>
          <w:rtl w:val="0"/>
        </w:rPr>
        <w:t xml:space="preserve">What matters in this task is not whether the model identifies the right diagnosis — the labs and imaging largely give that away — but whether it can navigate the competing management priorities that follow. The golden answer demonstrates how these priorities interact: volume removal for heart failure competes with volume replacement for anemia, and both affect renal perfusion. A note that treats these as parallel problems with independent solutions is missing the clinical tension at the center of the cas</w:t>
      </w:r>
      <w:r w:rsidDel="00000000" w:rsidR="00000000" w:rsidRPr="00000000">
        <w:rPr>
          <w:rFonts w:ascii="Arial" w:cs="Arial" w:eastAsia="Arial" w:hAnsi="Arial"/>
          <w:sz w:val="22"/>
          <w:szCs w:val="22"/>
          <w:rtl w:val="0"/>
        </w:rPr>
        <w:t xml:space="preserve">e. The model does not need to use the golden answer’s exact strategy, but it must show that it recognizes the conflict and has a coherent approach that accounts for it. A model that reaches different management conclusions but shows sound reasoning for doing so should not be penalized for deviating from the golden file.</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sz w:val="22"/>
          <w:szCs w:val="22"/>
          <w:rtl w:val="0"/>
        </w:rPr>
        <w:t xml:space="preserve">The note must also demonstrate that the model used the prior hospitalization records, not just the ED workup. The golden answer connects the current decompensation to specific discharge medication changes — a note that calls this a routine readmission or attributes it to noncompliance has missed the point. The model should show it understands why those changes were made, not just that they happened. Several medication safety decisions and lab abnormalities in this case each require a specific clinical response — the golden answer shows what those look like, and a model that does not address them or addresses them in ways that create patient safety risk is failing the task. Disposition must be admission.</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Fonts w:ascii="Arial" w:cs="Arial" w:eastAsia="Arial" w:hAnsi="Arial"/>
          <w:b w:val="1"/>
          <w:bCs w:val="1"/>
          <w:color w:val="2e75b6"/>
          <w:sz w:val="28"/>
          <w:szCs w:val="28"/>
          <w:rtl w:val="0"/>
        </w:rPr>
        <w:t xml:space="preserve">── B) SCOPE AND FORMAT</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Arial" w:cs="Arial" w:eastAsia="Arial" w:hAnsi="Arial"/>
          <w:sz w:val="22"/>
          <w:szCs w:val="22"/>
          <w:rtl w:val="0"/>
        </w:rPr>
        <w:t xml:space="preserve">ED notes are focused. Penalize meaningfully — not as a style note — for admission H&amp;P-length output with problem-by-problem teaching paragraphs. ED MDM is concise — it documents reasoning for decisions, not pathophysiology education. The EMS/UC transfer context is part of the clinical picture and should not be omitted. An ED note that assesses without documenting what was done is incomplete. Do not penalize for ED note formatting choices, additional disposition details, prose style, or level of detail on the prior hospitalization summary beyond what is needed for MDM.</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Fonts w:ascii="Arial" w:cs="Arial" w:eastAsia="Arial" w:hAnsi="Arial"/>
          <w:b w:val="1"/>
          <w:bCs w:val="1"/>
          <w:color w:val="2e75b6"/>
          <w:sz w:val="28"/>
          <w:szCs w:val="28"/>
          <w:rtl w:val="0"/>
        </w:rPr>
        <w:t xml:space="preserve">── C) GOOD PRACTICE — SHOWN IN GOLDEN ANSWER, NOT REQUIRED</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sz w:val="22"/>
          <w:szCs w:val="22"/>
          <w:rtl w:val="0"/>
        </w:rPr>
        <w:t xml:space="preserve">Credit where present; do not penalize for absence. Interpreting the VBG as compensated metabolic acidosis and connecting it to lactate and anemia. Addressing lactate as low cardiac output and anemia-driven, not sepsis. Addressing glucose in the context of recent prednisone taper and T2DM. Noting potassium risk with transfusion. Noting AFib RVR will likely improve with treatment of underlying drivers rather than aggressive rate control. Flagging CBD oil as a CYP3A4 inhibitor affecting apixaban levels. Acknowledging stroke risk tradeoff when holding anticoagulation. Noting bupropion continuity from the hospitalization psychiatric medication switch.</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Fonts w:ascii="Arial" w:cs="Arial" w:eastAsia="Arial" w:hAnsi="Arial"/>
          <w:b w:val="1"/>
          <w:bCs w:val="1"/>
          <w:color w:val="2e75b6"/>
          <w:sz w:val="28"/>
          <w:szCs w:val="28"/>
          <w:rtl w:val="0"/>
        </w:rPr>
        <w:t xml:space="preserve">── D) KNOWN ERRORS — PENALIZE FOR</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sz w:val="22"/>
          <w:szCs w:val="22"/>
          <w:rtl w:val="0"/>
        </w:rPr>
        <w:t xml:space="preserve">Models with access to the full workup default to treating each abnormal value independently — diuresing for the BNP, transfusing for the hemoglobin, rate-controlling for the tachycardia — without recognizing that these are interconnected problems requiring a unified management strategy. The result is a note that addresses each lab but misses the core clinical tension: volume removal for HF competes directly with volume replacement for anemia, and both affect renal perfusion. Omitting this competing-priorities reasoning — treating HF and anemia as parallel problems rather than conflicting ones — is a significant failure even if the individual orders are correct.</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sz w:val="22"/>
          <w:szCs w:val="22"/>
          <w:rtl w:val="0"/>
        </w:rPr>
        <w:t xml:space="preserve">A related pattern: models interpret the troponin elevation as ACS and escalate to anticoagulation or invasive workup, when the clinical context points to demand ischemia. This is a management error with real consequences in a patient with active bleeding concern. In the same vein, models sometimes attempt aggressive IV rate control with agents that are contraindicated given the ejection fraction. The tachycardia is driven by the underlying processes and should improve as those are treated.</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sz w:val="22"/>
          <w:szCs w:val="22"/>
          <w:rtl w:val="0"/>
        </w:rPr>
        <w:t xml:space="preserve">Models also fail on medication safety in predictable ways. The golden answer addresses several medications that should be held or avoided given the clinical picture — models that continue them or reintroduce previously discontinued agents without weighing the contraindications are making patient safety errors. The specific medications and reasoning are in the golden file.</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sz w:val="22"/>
          <w:szCs w:val="22"/>
          <w:rtl w:val="0"/>
        </w:rPr>
        <w:t xml:space="preserve">On the synthesis side, models that write a generic CHF exacerbation note without integrating the specific discharge medication history from the world files are missing the task’s central requirement. The decompensation is not idiopathic — the golden answer traces it to a specific cause. A note that treats this as a routine readmission, or attributes it to noncompliance, demonstrates that the agent did not use the prior records to understand the clinical context.</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Fonts w:ascii="Arial" w:cs="Arial" w:eastAsia="Arial" w:hAnsi="Arial"/>
          <w:b w:val="1"/>
          <w:bCs w:val="1"/>
          <w:color w:val="2e75b6"/>
          <w:sz w:val="28"/>
          <w:szCs w:val="28"/>
          <w:rtl w:val="0"/>
        </w:rPr>
        <w:t xml:space="preserve">── SCORING</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sz w:val="22"/>
          <w:szCs w:val="22"/>
          <w:rtl w:val="0"/>
        </w:rPr>
        <w:t xml:space="preserve">Provide a single score between 0–1 with reasoning.</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sz w:val="22"/>
          <w:szCs w:val="22"/>
          <w:rtl w:val="0"/>
        </w:rPr>
        <w:t xml:space="preserve">Format: &lt;reasoning&gt;...&lt;/reasoning&gt;&lt;score&gt;...&lt;/score&gt;</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right"/>
      <w:rPr/>
    </w:pPr>
    <w:r w:rsidDel="00000000" w:rsidR="00000000" w:rsidRPr="00000000">
      <w:rPr>
        <w:rFonts w:ascii="Arial" w:cs="Arial" w:eastAsia="Arial" w:hAnsi="Arial"/>
        <w:color w:val="666666"/>
        <w:sz w:val="16"/>
        <w:szCs w:val="16"/>
        <w:rtl w:val="0"/>
      </w:rPr>
      <w:t xml:space="preserve">Grader Guideline  |  ED Provider Note  |  Pemberton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T6R2wPqtHWNBXvnI/pl+HNSBCQ==">CgMxLjA4AHIhMW4wY0tLcVFxTmtYbDduUFFzb0M2WFNxSjNXOFVTdlZV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