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40" w:lineRule="auto"/>
        <w:rPr>
          <w:sz w:val="24"/>
          <w:szCs w:val="24"/>
        </w:rPr>
      </w:pPr>
      <w:r w:rsidDel="00000000" w:rsidR="00000000" w:rsidRPr="00000000">
        <w:rPr>
          <w:sz w:val="24"/>
          <w:szCs w:val="24"/>
          <w:rtl w:val="0"/>
        </w:rPr>
        <w:t xml:space="preserve">You are reviewing a Transitional Care Management documentation package for Harold Pemberton, a 74-year-old male seen at his PCP’s office 5 days after discharge from an 11-day hospitalization (COPD exacerbation, new HFrEF EF 30%, GI hemorrhage s/p IR embolization, ICU/AKI, multiple medication changes). His daughter called on post-discharge day 2 reporting that he was taking several medications that should have been stopped and that a new prescription was never filled. The model has access to the full 27-document hospital chart plus the prompt-embedded phone call and visit findings.</w:t>
      </w:r>
    </w:p>
    <w:p w:rsidR="00000000" w:rsidDel="00000000" w:rsidP="00000000" w:rsidRDefault="00000000" w:rsidRPr="00000000" w14:paraId="00000002">
      <w:pPr>
        <w:spacing w:after="240" w:before="240" w:line="240" w:lineRule="auto"/>
        <w:rPr>
          <w:b w:val="1"/>
          <w:bCs w:val="1"/>
          <w:sz w:val="34"/>
          <w:szCs w:val="34"/>
        </w:rPr>
      </w:pPr>
      <w:r w:rsidDel="00000000" w:rsidR="00000000" w:rsidRPr="00000000">
        <w:rPr>
          <w:sz w:val="24"/>
          <w:szCs w:val="24"/>
          <w:rtl w:val="0"/>
        </w:rPr>
        <w:t xml:space="preserve"> </w:t>
      </w:r>
      <w:r w:rsidDel="00000000" w:rsidR="00000000" w:rsidRPr="00000000">
        <w:rPr>
          <w:b w:val="1"/>
          <w:bCs w:val="1"/>
          <w:sz w:val="34"/>
          <w:szCs w:val="34"/>
          <w:rtl w:val="0"/>
        </w:rPr>
        <w:t xml:space="preserve">── GOLDEN ANSWER</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 Open Task_7_TCM_Golden_Response.docx before grading. This is an example of a correct answer for this task. Use it as your benchmark across the sections below.</w:t>
      </w:r>
    </w:p>
    <w:p w:rsidR="00000000" w:rsidDel="00000000" w:rsidP="00000000" w:rsidRDefault="00000000" w:rsidRPr="00000000" w14:paraId="00000004">
      <w:pPr>
        <w:spacing w:after="240" w:before="240" w:line="240" w:lineRule="auto"/>
        <w:rPr>
          <w:b w:val="1"/>
          <w:bCs w:val="1"/>
          <w:sz w:val="34"/>
          <w:szCs w:val="34"/>
        </w:rPr>
      </w:pPr>
      <w:r w:rsidDel="00000000" w:rsidR="00000000" w:rsidRPr="00000000">
        <w:rPr>
          <w:sz w:val="24"/>
          <w:szCs w:val="24"/>
          <w:rtl w:val="0"/>
        </w:rPr>
        <w:t xml:space="preserve"> </w:t>
      </w:r>
      <w:r w:rsidDel="00000000" w:rsidR="00000000" w:rsidRPr="00000000">
        <w:rPr>
          <w:b w:val="1"/>
          <w:bCs w:val="1"/>
          <w:sz w:val="34"/>
          <w:szCs w:val="34"/>
          <w:rtl w:val="0"/>
        </w:rPr>
        <w:t xml:space="preserve">── A) CLINICAL REASONING — MUST BE PRESENT AND CORRECT</w:t>
      </w:r>
    </w:p>
    <w:p w:rsidR="00000000" w:rsidDel="00000000" w:rsidP="00000000" w:rsidRDefault="00000000" w:rsidRPr="00000000" w14:paraId="00000005">
      <w:pPr>
        <w:spacing w:after="240" w:before="240" w:line="240" w:lineRule="auto"/>
        <w:rPr>
          <w:sz w:val="24"/>
          <w:szCs w:val="24"/>
        </w:rPr>
      </w:pPr>
      <w:r w:rsidDel="00000000" w:rsidR="00000000" w:rsidRPr="00000000">
        <w:rPr>
          <w:sz w:val="24"/>
          <w:szCs w:val="24"/>
          <w:rtl w:val="0"/>
        </w:rPr>
        <w:t xml:space="preserve">The prompt hands the model four active medication safety problems through the daughter’s phone report. This is the heart of the task. A model that simply says “stop” for each one has identified the surface problem but not done the clinical work. For each medication the daughter reports, the model needs to trace it back through the chart to understand why it is dangerous, what the correct action is, and — where relevant — what should replace it. The golden answer demonstrates this reasoning for all four. A model that catches all four with chart-based justification is meeting the standard. A model that misses any of them is failing on the most basic requirement of the task, because these problems are explicitly handed to it in the prompt.</w:t>
      </w:r>
    </w:p>
    <w:p w:rsidR="00000000" w:rsidDel="00000000" w:rsidP="00000000" w:rsidRDefault="00000000" w:rsidRPr="00000000" w14:paraId="00000006">
      <w:pPr>
        <w:spacing w:after="120" w:before="240" w:line="240" w:lineRule="auto"/>
        <w:rPr>
          <w:sz w:val="24"/>
          <w:szCs w:val="24"/>
        </w:rPr>
      </w:pPr>
      <w:r w:rsidDel="00000000" w:rsidR="00000000" w:rsidRPr="00000000">
        <w:rPr>
          <w:sz w:val="24"/>
          <w:szCs w:val="24"/>
          <w:rtl w:val="0"/>
        </w:rPr>
        <w:t xml:space="preserve">Beyond the four safety emergencies, the model needs to reconcile the full medication list. The world is built so that multiple sources — family list, pill bottles, EMR, specialist notes — all tell different stories about what the patient is taking and at what dose. The golden answer shows which source is authoritative for each medication and why. The model does not need to catch every single discrepancy to score well, but it needs to get the high-stakes ones — the medications where a wrong dose has direct patient safety implications. The golden answer identifies which those are.</w:t>
      </w:r>
    </w:p>
    <w:p w:rsidR="00000000" w:rsidDel="00000000" w:rsidP="00000000" w:rsidRDefault="00000000" w:rsidRPr="00000000" w14:paraId="00000007">
      <w:pPr>
        <w:spacing w:after="120" w:before="240" w:line="240" w:lineRule="auto"/>
        <w:rPr>
          <w:sz w:val="24"/>
          <w:szCs w:val="24"/>
        </w:rPr>
      </w:pPr>
      <w:r w:rsidDel="00000000" w:rsidR="00000000" w:rsidRPr="00000000">
        <w:rPr>
          <w:sz w:val="24"/>
          <w:szCs w:val="24"/>
          <w:rtl w:val="0"/>
        </w:rPr>
        <w:t xml:space="preserve">A thorough TCM visit goes beyond medications. The golden answer demonstrates three clinical assessments that distinguish a complete encounter from a medication-only one: lab ordering tied to specific pending medication decisions, verification of where the patient is in an active taper with counseling on the upcoming changes, and decomposed specialist follow-up with timelines and clinical questions rather than generic referrals. A model that does the medication work but skips these clinical threads has produced an incomplete visit. A model that addresses some but not all is doing partial credit work — the golden answer shows the expected depth.</w:t>
      </w:r>
    </w:p>
    <w:p w:rsidR="00000000" w:rsidDel="00000000" w:rsidP="00000000" w:rsidRDefault="00000000" w:rsidRPr="00000000" w14:paraId="00000008">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pStyle w:val="Heading2"/>
        <w:keepNext w:val="0"/>
        <w:keepLines w:val="0"/>
        <w:spacing w:after="80" w:line="240" w:lineRule="auto"/>
        <w:rPr>
          <w:b w:val="1"/>
          <w:bCs w:val="1"/>
          <w:sz w:val="34"/>
          <w:szCs w:val="34"/>
        </w:rPr>
      </w:pPr>
      <w:bookmarkStart w:colFirst="0" w:colLast="0" w:name="_heading=h.hh91l06148hx" w:id="0"/>
      <w:bookmarkEnd w:id="0"/>
      <w:r w:rsidDel="00000000" w:rsidR="00000000" w:rsidRPr="00000000">
        <w:rPr>
          <w:b w:val="1"/>
          <w:bCs w:val="1"/>
          <w:sz w:val="34"/>
          <w:szCs w:val="34"/>
          <w:rtl w:val="0"/>
        </w:rPr>
        <w:t xml:space="preserve">── B) SCOPE AND FORMAT</w:t>
      </w:r>
    </w:p>
    <w:p w:rsidR="00000000" w:rsidDel="00000000" w:rsidP="00000000" w:rsidRDefault="00000000" w:rsidRPr="00000000" w14:paraId="0000000A">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120" w:before="240" w:line="240" w:lineRule="auto"/>
        <w:rPr>
          <w:sz w:val="24"/>
          <w:szCs w:val="24"/>
        </w:rPr>
      </w:pPr>
      <w:r w:rsidDel="00000000" w:rsidR="00000000" w:rsidRPr="00000000">
        <w:rPr>
          <w:sz w:val="24"/>
          <w:szCs w:val="24"/>
          <w:rtl w:val="0"/>
        </w:rPr>
        <w:t xml:space="preserve">TCM is a defined CMS service with specific documentation requirements. The golden answer demonstrates what a billable 99496 encounter looks like. A model that produces a clinically excellent SOAP note but skips the billing structure entirely has produced an unbillable encounter — that said, billing documentation is secondary to clinical content. A model that nails the medication safety and reconciliation but has incomplete billing structure should score higher than one with perfect billing but missed safety issues. Do not penalize for structural variation in how the TCM elements are organized.</w:t>
      </w:r>
    </w:p>
    <w:p w:rsidR="00000000" w:rsidDel="00000000" w:rsidP="00000000" w:rsidRDefault="00000000" w:rsidRPr="00000000" w14:paraId="0000000C">
      <w:pPr>
        <w:spacing w:after="240" w:before="240" w:line="240" w:lineRule="auto"/>
        <w:rPr>
          <w:b w:val="1"/>
          <w:bCs w:val="1"/>
          <w:sz w:val="34"/>
          <w:szCs w:val="34"/>
        </w:rPr>
      </w:pPr>
      <w:r w:rsidDel="00000000" w:rsidR="00000000" w:rsidRPr="00000000">
        <w:rPr>
          <w:sz w:val="24"/>
          <w:szCs w:val="24"/>
          <w:rtl w:val="0"/>
        </w:rPr>
        <w:t xml:space="preserve"> </w:t>
      </w:r>
      <w:r w:rsidDel="00000000" w:rsidR="00000000" w:rsidRPr="00000000">
        <w:rPr>
          <w:b w:val="1"/>
          <w:bCs w:val="1"/>
          <w:sz w:val="34"/>
          <w:szCs w:val="34"/>
          <w:rtl w:val="0"/>
        </w:rPr>
        <w:t xml:space="preserve">── C) GOOD PRACTICE — SHOWN IN GOLDEN ANSWER, NOT REQUIRED</w:t>
      </w:r>
    </w:p>
    <w:p w:rsidR="00000000" w:rsidDel="00000000" w:rsidP="00000000" w:rsidRDefault="00000000" w:rsidRPr="00000000" w14:paraId="0000000D">
      <w:pPr>
        <w:spacing w:after="240" w:before="240" w:line="240" w:lineRule="auto"/>
        <w:rPr>
          <w:sz w:val="24"/>
          <w:szCs w:val="24"/>
        </w:rPr>
      </w:pPr>
      <w:r w:rsidDel="00000000" w:rsidR="00000000" w:rsidRPr="00000000">
        <w:rPr>
          <w:sz w:val="24"/>
          <w:szCs w:val="24"/>
          <w:rtl w:val="0"/>
        </w:rPr>
        <w:t xml:space="preserve"> Credit where present; do not penalize for absence. A three-column medication reconciliation format showing what the patient is taking versus what they should be taking versus corrective action. The interactive contact note as a separate structured section with specific interim instructions. Explicit MDM justification with the three MDM elements. Identifying expired or inappropriate bottles that should be discarded from the home. Identifying low-grade drug interactions that are real but not urgent at current doses.</w:t>
      </w:r>
    </w:p>
    <w:p w:rsidR="00000000" w:rsidDel="00000000" w:rsidP="00000000" w:rsidRDefault="00000000" w:rsidRPr="00000000" w14:paraId="0000000E">
      <w:pPr>
        <w:spacing w:after="240" w:before="240" w:line="240" w:lineRule="auto"/>
        <w:rPr>
          <w:b w:val="1"/>
          <w:bCs w:val="1"/>
          <w:sz w:val="34"/>
          <w:szCs w:val="34"/>
        </w:rPr>
      </w:pPr>
      <w:r w:rsidDel="00000000" w:rsidR="00000000" w:rsidRPr="00000000">
        <w:rPr>
          <w:sz w:val="24"/>
          <w:szCs w:val="24"/>
          <w:rtl w:val="0"/>
        </w:rPr>
        <w:t xml:space="preserve"> </w:t>
      </w:r>
      <w:r w:rsidDel="00000000" w:rsidR="00000000" w:rsidRPr="00000000">
        <w:rPr>
          <w:b w:val="1"/>
          <w:bCs w:val="1"/>
          <w:sz w:val="34"/>
          <w:szCs w:val="34"/>
          <w:rtl w:val="0"/>
        </w:rPr>
        <w:t xml:space="preserve">── D) KNOWN ERRORS — PENALIZE FOR</w:t>
      </w:r>
    </w:p>
    <w:p w:rsidR="00000000" w:rsidDel="00000000" w:rsidP="00000000" w:rsidRDefault="00000000" w:rsidRPr="00000000" w14:paraId="0000000F">
      <w:pPr>
        <w:spacing w:after="240" w:before="240" w:line="240" w:lineRule="auto"/>
        <w:rPr>
          <w:sz w:val="24"/>
          <w:szCs w:val="24"/>
        </w:rPr>
      </w:pPr>
      <w:r w:rsidDel="00000000" w:rsidR="00000000" w:rsidRPr="00000000">
        <w:rPr>
          <w:sz w:val="24"/>
          <w:szCs w:val="24"/>
          <w:rtl w:val="0"/>
        </w:rPr>
        <w:t xml:space="preserve">The most common failure pattern is a model that identifies the four medication safety problems from the daughter’s phone call but treats them as simple stop orders without tracing back through the chart. One medication requires not just stopping but identifying that a replacement was prescribed and never filled. Another has a specific multi-system contraindication that matters for the counseling. A third was never actually prescribed anywhere in the record — the model needs to recognize that absence, not just accept the family’s report at face value. The fourth has an explicit specialist recommendation to discontinue that the model should find and cite. The golden answer demonstrates this depth for each one.</w:t>
      </w:r>
    </w:p>
    <w:p w:rsidR="00000000" w:rsidDel="00000000" w:rsidP="00000000" w:rsidRDefault="00000000" w:rsidRPr="00000000" w14:paraId="00000010">
      <w:pPr>
        <w:spacing w:after="120" w:before="240" w:line="240" w:lineRule="auto"/>
        <w:rPr>
          <w:sz w:val="24"/>
          <w:szCs w:val="24"/>
        </w:rPr>
      </w:pPr>
      <w:r w:rsidDel="00000000" w:rsidR="00000000" w:rsidRPr="00000000">
        <w:rPr>
          <w:sz w:val="24"/>
          <w:szCs w:val="24"/>
          <w:rtl w:val="0"/>
        </w:rPr>
        <w:t xml:space="preserve">A related pattern: models use pre-admission medication doses instead of discharge doses. Multiple medications were dose-adjusted during the hospitalization, and the family’s pill bottles and handwritten list reflect the old doses. The chart contains multiple conflicting dose references across different sources. A model that does not identify which source is authoritative for each medication and instead defaults to whatever it encounters first will produce an unsafe reconciliation. The golden answer shows the correct discharge doses and why.</w:t>
      </w:r>
    </w:p>
    <w:p w:rsidR="00000000" w:rsidDel="00000000" w:rsidP="00000000" w:rsidRDefault="00000000" w:rsidRPr="00000000" w14:paraId="00000011">
      <w:pPr>
        <w:spacing w:after="120" w:before="240" w:line="240" w:lineRule="auto"/>
        <w:rPr>
          <w:sz w:val="24"/>
          <w:szCs w:val="24"/>
        </w:rPr>
      </w:pPr>
      <w:r w:rsidDel="00000000" w:rsidR="00000000" w:rsidRPr="00000000">
        <w:rPr>
          <w:sz w:val="24"/>
          <w:szCs w:val="24"/>
          <w:rtl w:val="0"/>
        </w:rPr>
        <w:t xml:space="preserve">Models also tend to order labs generically without connecting the results to pending medication decisions. Several medications on this patient’s list are gated on renal function or electrolyte values that are not yet available. A model that orders a BMP is doing the minimum; a model that explains which specific medication decisions will change based on the results is doing the actual clinical work. A related failure: models see an elevated glucose and escalate diabetes management without recognizing that the patient is on an active steroid taper that explains the hyperglycemia.</w:t>
      </w:r>
    </w:p>
    <w:p w:rsidR="00000000" w:rsidDel="00000000" w:rsidP="00000000" w:rsidRDefault="00000000" w:rsidRPr="00000000" w14:paraId="00000012">
      <w:pPr>
        <w:spacing w:after="120" w:before="240" w:line="240" w:lineRule="auto"/>
        <w:rPr>
          <w:sz w:val="24"/>
          <w:szCs w:val="24"/>
        </w:rPr>
      </w:pPr>
      <w:r w:rsidDel="00000000" w:rsidR="00000000" w:rsidRPr="00000000">
        <w:rPr>
          <w:sz w:val="24"/>
          <w:szCs w:val="24"/>
          <w:rtl w:val="0"/>
        </w:rPr>
        <w:t xml:space="preserve">Finally, models default to generic specialist follow-up language — “follow up with specialists” or “follow up with cardiology” — without decomposing the referrals into specific services, timelines, and clinical questions. The golden answer demonstrates what this decomposition looks like. Getting three or four of the five relevant referrals with reasonable timelines is solid; getting all of them with clinical questions is excellent; listing none specifically is a failure.</w:t>
      </w:r>
    </w:p>
    <w:p w:rsidR="00000000" w:rsidDel="00000000" w:rsidP="00000000" w:rsidRDefault="00000000" w:rsidRPr="00000000" w14:paraId="00000013">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4">
      <w:pPr>
        <w:pStyle w:val="Heading2"/>
        <w:keepNext w:val="0"/>
        <w:keepLines w:val="0"/>
        <w:spacing w:after="80" w:line="240" w:lineRule="auto"/>
        <w:rPr>
          <w:b w:val="1"/>
          <w:bCs w:val="1"/>
          <w:sz w:val="34"/>
          <w:szCs w:val="34"/>
        </w:rPr>
      </w:pPr>
      <w:bookmarkStart w:colFirst="0" w:colLast="0" w:name="_heading=h.955vrzde53n9" w:id="1"/>
      <w:bookmarkEnd w:id="1"/>
      <w:r w:rsidDel="00000000" w:rsidR="00000000" w:rsidRPr="00000000">
        <w:rPr>
          <w:b w:val="1"/>
          <w:bCs w:val="1"/>
          <w:sz w:val="34"/>
          <w:szCs w:val="34"/>
          <w:rtl w:val="0"/>
        </w:rPr>
        <w:t xml:space="preserve">── SCORING</w:t>
      </w:r>
    </w:p>
    <w:p w:rsidR="00000000" w:rsidDel="00000000" w:rsidP="00000000" w:rsidRDefault="00000000" w:rsidRPr="00000000" w14:paraId="00000015">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after="120" w:before="240" w:line="240" w:lineRule="auto"/>
        <w:rPr>
          <w:sz w:val="24"/>
          <w:szCs w:val="24"/>
        </w:rPr>
      </w:pPr>
      <w:r w:rsidDel="00000000" w:rsidR="00000000" w:rsidRPr="00000000">
        <w:rPr>
          <w:sz w:val="24"/>
          <w:szCs w:val="24"/>
          <w:rtl w:val="0"/>
        </w:rPr>
        <w:t xml:space="preserve">Provide a single score between 0–1 with reasoning.</w:t>
      </w:r>
    </w:p>
    <w:p w:rsidR="00000000" w:rsidDel="00000000" w:rsidP="00000000" w:rsidRDefault="00000000" w:rsidRPr="00000000" w14:paraId="00000017">
      <w:pPr>
        <w:spacing w:after="120" w:before="240" w:line="240" w:lineRule="auto"/>
        <w:rPr>
          <w:sz w:val="24"/>
          <w:szCs w:val="24"/>
        </w:rPr>
      </w:pPr>
      <w:r w:rsidDel="00000000" w:rsidR="00000000" w:rsidRPr="00000000">
        <w:rPr>
          <w:sz w:val="24"/>
          <w:szCs w:val="24"/>
          <w:rtl w:val="0"/>
        </w:rPr>
        <w:t xml:space="preserve">Format: &lt;reasoning&gt;...&lt;/reasoning&gt;&lt;score&gt;...&lt;/score&gt;</w:t>
      </w:r>
    </w:p>
    <w:p w:rsidR="00000000" w:rsidDel="00000000" w:rsidP="00000000" w:rsidRDefault="00000000" w:rsidRPr="00000000" w14:paraId="00000018">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19">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1A">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1B">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1C">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1D">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1E">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1F">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0">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1">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2">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3">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4">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5">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6">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7">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8">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9">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A">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B">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C">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D">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E">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2F">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0">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1">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2">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3">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4">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5">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6">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7">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8">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9">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A">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B">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C">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D">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E">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3F">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0">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1">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2">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3">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4">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5">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6">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7">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8">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9">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A">
      <w:pPr>
        <w:spacing w:after="40" w:line="240" w:lineRule="auto"/>
        <w:rPr>
          <w:color w:val="1f3864"/>
          <w:sz w:val="28"/>
          <w:szCs w:val="28"/>
        </w:rPr>
      </w:pPr>
      <w:r w:rsidDel="00000000" w:rsidR="00000000" w:rsidRPr="00000000">
        <w:rPr>
          <w:rtl w:val="0"/>
        </w:rPr>
      </w:r>
    </w:p>
    <w:p w:rsidR="00000000" w:rsidDel="00000000" w:rsidP="00000000" w:rsidRDefault="00000000" w:rsidRPr="00000000" w14:paraId="0000004B">
      <w:pPr>
        <w:spacing w:after="100" w:line="276" w:lineRule="auto"/>
        <w:rPr>
          <w:strike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LFVz46ZDx6oaTYi/KmKAiLaqBg==">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