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PROGRESS NOTE, HOSPITAL MEDICINE</w:t>
      </w:r>
    </w:p>
    <w:p w:rsidR="00000000" w:rsidDel="00000000" w:rsidP="00000000" w:rsidRDefault="00000000" w:rsidRPr="00000000" w14:paraId="00000002">
      <w:pPr>
        <w:rPr/>
      </w:pPr>
      <w:r w:rsidDel="00000000" w:rsidR="00000000" w:rsidRPr="00000000">
        <w:rPr>
          <w:rtl w:val="0"/>
        </w:rPr>
        <w:t xml:space="preserve">Date: 03/18/2025 | HD14 | Author: [Provider Name] | Attending: Brennan, Allison MD</w:t>
      </w:r>
    </w:p>
    <w:p w:rsidR="00000000" w:rsidDel="00000000" w:rsidP="00000000" w:rsidRDefault="00000000" w:rsidRPr="00000000" w14:paraId="00000003">
      <w:pPr>
        <w:rPr/>
      </w:pPr>
      <w:r w:rsidDel="00000000" w:rsidR="00000000" w:rsidRPr="00000000">
        <w:rPr>
          <w:rtl w:val="0"/>
        </w:rPr>
        <w:t xml:space="preserve">SUBJECTIVE</w:t>
      </w:r>
    </w:p>
    <w:p w:rsidR="00000000" w:rsidDel="00000000" w:rsidP="00000000" w:rsidRDefault="00000000" w:rsidRPr="00000000" w14:paraId="00000004">
      <w:pPr>
        <w:rPr/>
      </w:pPr>
      <w:r w:rsidDel="00000000" w:rsidR="00000000" w:rsidRPr="00000000">
        <w:rPr>
          <w:rtl w:val="0"/>
        </w:rPr>
        <w:t xml:space="preserve">62 y/o Chinese American male, HD14, admitted 03/05/2025 for ESBL E. coli urosepsis. Course complicated by AKI (Cr peaked 3.6), new-onset AF with bilateral embolic infarcts on MRI, and prolonged AMS with myoclonus that resolved after antibiotic change on HD10. Wife Mei-Hua Chen (HC-POA, Mandarin interpreter) at bedside, reports pt is at cognitive baseline today, alert, conversational, eating well, ambulating independently. No confusion, no jerking movements. Planned for discharge today.</w:t>
      </w:r>
    </w:p>
    <w:p w:rsidR="00000000" w:rsidDel="00000000" w:rsidP="00000000" w:rsidRDefault="00000000" w:rsidRPr="00000000" w14:paraId="00000005">
      <w:pPr>
        <w:rPr/>
      </w:pPr>
      <w:r w:rsidDel="00000000" w:rsidR="00000000" w:rsidRPr="00000000">
        <w:rPr>
          <w:rtl w:val="0"/>
        </w:rPr>
        <w:t xml:space="preserve">OBJECTIVE</w:t>
      </w:r>
    </w:p>
    <w:p w:rsidR="00000000" w:rsidDel="00000000" w:rsidP="00000000" w:rsidRDefault="00000000" w:rsidRPr="00000000" w14:paraId="00000006">
      <w:pPr>
        <w:rPr/>
      </w:pPr>
      <w:r w:rsidDel="00000000" w:rsidR="00000000" w:rsidRPr="00000000">
        <w:rPr>
          <w:rtl w:val="0"/>
        </w:rPr>
        <w:t xml:space="preserve">Vitals (06:00): T 98.2°F | HR 70 | BP 130/80 | RR 14 | SpO2 99% RA</w:t>
      </w:r>
    </w:p>
    <w:p w:rsidR="00000000" w:rsidDel="00000000" w:rsidP="00000000" w:rsidRDefault="00000000" w:rsidRPr="00000000" w14:paraId="00000007">
      <w:pPr>
        <w:rPr/>
      </w:pPr>
      <w:r w:rsidDel="00000000" w:rsidR="00000000" w:rsidRPr="00000000">
        <w:rPr>
          <w:rtl w:val="0"/>
        </w:rPr>
        <w:t xml:space="preserve">Labs (03/18 AM): Cr 2.4 (baseline 1.2, peak 3.6 on 03/11), BUN 30, K 4.0, Na 138, WBC 7.6, Hgb 11.1, Plt 210. INR 1.8 (goal 2.0 to 3.0, subtherapeutic). Lactate 0.8.</w:t>
      </w:r>
    </w:p>
    <w:p w:rsidR="00000000" w:rsidDel="00000000" w:rsidP="00000000" w:rsidRDefault="00000000" w:rsidRPr="00000000" w14:paraId="00000008">
      <w:pPr>
        <w:rPr/>
      </w:pPr>
      <w:r w:rsidDel="00000000" w:rsidR="00000000" w:rsidRPr="00000000">
        <w:rPr>
          <w:rtl w:val="0"/>
        </w:rPr>
        <w:t xml:space="preserve">Gen: Alert, NAD. Well-appearing.</w:t>
        <w:br w:type="textWrapping"/>
        <w:t xml:space="preserve">HEENT: NCAT, PERRL, mucous membranes moist.</w:t>
        <w:br w:type="textWrapping"/>
        <w:t xml:space="preserve">CV: Irregularly irregular. No murmurs.</w:t>
        <w:br w:type="textWrapping"/>
        <w:t xml:space="preserve">Pulm: CTA bilaterally. No crackles, wheezes.</w:t>
        <w:br w:type="textWrapping"/>
        <w:t xml:space="preserve">Abd: Soft, non-tender, non-distended. Normal bowel sounds.</w:t>
        <w:br w:type="textWrapping"/>
        <w:t xml:space="preserve">Ext: No edema. PICC left antecubital (LUE), clean, no erythema.</w:t>
        <w:br w:type="textWrapping"/>
        <w:t xml:space="preserve">Neuro: Alert, oriented x3. At baseline per wife. Ambulating independently. Independent ADLs. No myoclonus, no tremor, no asterixis. 5/5 strength throughout. Gait steady.</w:t>
      </w:r>
    </w:p>
    <w:p w:rsidR="00000000" w:rsidDel="00000000" w:rsidP="00000000" w:rsidRDefault="00000000" w:rsidRPr="00000000" w14:paraId="00000009">
      <w:pPr>
        <w:rPr/>
      </w:pPr>
      <w:r w:rsidDel="00000000" w:rsidR="00000000" w:rsidRPr="00000000">
        <w:rPr>
          <w:rtl w:val="0"/>
        </w:rPr>
        <w:t xml:space="preserve">ASSESSMENT / PLAN</w:t>
      </w:r>
    </w:p>
    <w:p w:rsidR="00000000" w:rsidDel="00000000" w:rsidP="00000000" w:rsidRDefault="00000000" w:rsidRPr="00000000" w14:paraId="0000000A">
      <w:pPr>
        <w:rPr/>
      </w:pPr>
      <w:r w:rsidDel="00000000" w:rsidR="00000000" w:rsidRPr="00000000">
        <w:rPr>
          <w:rtl w:val="0"/>
        </w:rPr>
        <w:t xml:space="preserve">1. ESBL E. coli Urosepsis, Treated, Resolving</w:t>
        <w:br w:type="textWrapping"/>
        <w:t xml:space="preserve">• Urine culture (02/28/2025): ESBL-producing E. coli. R: ciprofloxacin, cefepime, ceftriaxone, TMP-SMX. S: meropenem, ertapenem, gentamicin.</w:t>
        <w:br w:type="textWrapping"/>
        <w:t xml:space="preserve">• Empiric cefepime started 03/05 in ED (2g IV q8h). ID consulted HD3, recommended continuing. ID re-reviewed HD10 and determined cefepime not appropriate for ESBL, transitioned to meropenem 500mg IV q12h (renally adjusted, CrCl ~25).</w:t>
        <w:br w:type="textWrapping"/>
        <w:t xml:space="preserve">• Meropenem day 5 of 14-day course. Continue via home infusion (Homecare Infusion Partners). BCx x4 negative.</w:t>
      </w:r>
    </w:p>
    <w:p w:rsidR="00000000" w:rsidDel="00000000" w:rsidP="00000000" w:rsidRDefault="00000000" w:rsidRPr="00000000" w14:paraId="0000000B">
      <w:pPr>
        <w:rPr/>
      </w:pPr>
      <w:r w:rsidDel="00000000" w:rsidR="00000000" w:rsidRPr="00000000">
        <w:rPr>
          <w:rtl w:val="0"/>
        </w:rPr>
        <w:t xml:space="preserve">2. Cefepime Neurotoxicity (new dx)</w:t>
        <w:br w:type="textWrapping"/>
        <w:t xml:space="preserve">• Cefepime 2g IV q8h was administered from 03/05 through 03/14 (10 days). CrCl at peak AKI (Cr 3.6, 03/11) estimated ~21 mL/min. Per formulary (Pol-03), CrCl 11 to 29 requires 1g q24h or 2g q24h. Pt received 3 to 6x supratherapeutic dosing (ID final note Att-56 explicitly named the supratherapeutic exposure; nephrology Att-35 had earlier flagged renally cleared medications for dose review on HD5 without specifying cefepime by name).</w:t>
        <w:br w:type="textWrapping"/>
        <w:t xml:space="preserve">• Nursing documented bilateral UE myoclonic jerks starting HD7 (03/11), recurring HD8, resolving by HD10. Neurology (Att-51, HD8) acknowledged the nursing observation but did not witness the jerks during their exam and attributed them to possible metabolic/uremic encephalopathy. No consultant connected the myoclonus to cefepime exposure prior to ID's HD10 reassessment.</w:t>
        <w:br w:type="textWrapping"/>
        <w:t xml:space="preserve">• Neurology consulted HD8 for persistent AMS, diagnosed multifactorial metabolic encephalopathy. EEG (03/16) showed triphasic waves with differential including drug-induced encephalopathy.</w:t>
        <w:br w:type="textWrapping"/>
        <w:t xml:space="preserve">• AMS and myoclonus improved after cefepime was discontinued on HD10. Myoclonus persisted while heparin continued through HD7 to HD10 and resolved when cefepime was discontinued on HD10, supporting cefepime over stroke as the primary driver. Temporal correlation with rising cefepime levels and resolution after cessation is consistent with cefepime neurotoxicity.</w:t>
        <w:br w:type="textWrapping"/>
        <w:t xml:space="preserve">• Resolved. No residual deficits today.</w:t>
      </w:r>
    </w:p>
    <w:p w:rsidR="00000000" w:rsidDel="00000000" w:rsidP="00000000" w:rsidRDefault="00000000" w:rsidRPr="00000000" w14:paraId="0000000C">
      <w:pPr>
        <w:rPr/>
      </w:pPr>
      <w:r w:rsidDel="00000000" w:rsidR="00000000" w:rsidRPr="00000000">
        <w:rPr>
          <w:rtl w:val="0"/>
        </w:rPr>
        <w:t xml:space="preserve">3. AKI on CKD Stage 2, Improving</w:t>
        <w:br w:type="textWrapping"/>
        <w:t xml:space="preserve">• Baseline Cr 1.2 (H&amp;P, 2019 records confirm 1.2). Admission 1.4, peak 3.6 (03/11), now 2.4. KDIGO Stage 3 (3x baseline).</w:t>
        <w:br w:type="textWrapping"/>
        <w:t xml:space="preserve">• Etiology: prerenal (sepsis/dehydration) + possible ATN. AKI led to cefepime accumulation and subsequent neurotoxicity.</w:t>
        <w:br w:type="textWrapping"/>
        <w:t xml:space="preserve">• Lisinopril HELD (per nephrology). PCP to make restart decision when Cr approaches baseline.</w:t>
      </w:r>
    </w:p>
    <w:p w:rsidR="00000000" w:rsidDel="00000000" w:rsidP="00000000" w:rsidRDefault="00000000" w:rsidRPr="00000000" w14:paraId="0000000D">
      <w:pPr>
        <w:rPr/>
      </w:pPr>
      <w:r w:rsidDel="00000000" w:rsidR="00000000" w:rsidRPr="00000000">
        <w:rPr>
          <w:rtl w:val="0"/>
        </w:rPr>
        <w:t xml:space="preserve">4. New-Onset Atrial Fibrillation with Cardioembolic Infarcts</w:t>
        <w:br w:type="textWrapping"/>
        <w:t xml:space="preserve">• AF onset 03/08 (HD4). Rate controlled on metoprolol. Echo (03/10): EF 55%, mild LA dilation, no thrombus.</w:t>
        <w:br w:type="textWrapping"/>
        <w:t xml:space="preserve">• MRI brain (03/13): bilateral acute/subacute infarcts, R MCA (frontal/parietal) and L PCA (occipital). Cardioembolic pattern. No hemorrhagic transformation.</w:t>
        <w:br w:type="textWrapping"/>
        <w:t xml:space="preserve">• Anticoagulation: heparin bridge 03/11 to 03/15, warfarin started 03/15. INR 1.8 at discharge, subtherapeutic (goal 2.0 to 3.0). PCP recheck within 3 to 5 days.</w:t>
      </w:r>
    </w:p>
    <w:p w:rsidR="00000000" w:rsidDel="00000000" w:rsidP="00000000" w:rsidRDefault="00000000" w:rsidRPr="00000000" w14:paraId="0000000E">
      <w:pPr>
        <w:rPr/>
      </w:pPr>
      <w:r w:rsidDel="00000000" w:rsidR="00000000" w:rsidRPr="00000000">
        <w:rPr>
          <w:rtl w:val="0"/>
        </w:rPr>
        <w:t xml:space="preserve">5. Discharge Plan</w:t>
        <w:br w:type="textWrapping"/>
        <w:t xml:space="preserve">• Home with wife. Home infusion: meropenem 500mg IV q12h x9 remaining days via Homecare Infusion Partners. CrCl has improved from ~25 (HD10) to ~32 (discharge), now in the 26 to 50 formulary band where 1g q12h is recommended. Recommend discussing dose adjustment w/ ID and pharmacy.</w:t>
        <w:br w:type="textWrapping"/>
        <w:t xml:space="preserve">• Auto-generated discharge med list needs review, still has cefepime listed as active. Cefepime should not go home with this patient.</w:t>
        <w:br w:type="textWrapping"/>
        <w:t xml:space="preserve">• Paper MAR from EMR downtime (03/10 to 03/12) has not been reconciled electronically.</w:t>
        <w:br w:type="textWrapping"/>
        <w:t xml:space="preserve">• Follow-up: PCP Nakamura within 1 week (BMP + INR). Neurology 4 to 6 weeks. Cardiology 2 to 4 weeks.</w:t>
      </w:r>
    </w:p>
    <w:p w:rsidR="00000000" w:rsidDel="00000000" w:rsidP="00000000" w:rsidRDefault="00000000" w:rsidRPr="00000000" w14:paraId="0000000F">
      <w:pPr>
        <w:rPr/>
      </w:pPr>
      <w:r w:rsidDel="00000000" w:rsidR="00000000" w:rsidRPr="00000000">
        <w:rPr>
          <w:rtl w:val="0"/>
        </w:rPr>
        <w:t xml:space="preserve">Electronically signed: [Provider Name] | Cosigned: Brennan, Allison MD | 03/18/2025</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kXXIkNPpIqSxX/iLKJpF5VBVOw==">CgMxLjA4AHIhMThrLXhicmh4UTFNNUdqWjl6aWdGTThIcEF2UUx1Q2tW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