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are reviewing a progress note for Jianwei Chen, a 62-year-old male on hospital day 14 of a complicated hospitalization. The intern writing this note has never seen the patient and is working from the chart alone. Three consulting services have produced conflicting assessments of the patient's persistent altered mental status, and the attending's recent progress notes contain copy-forwarded language that does not reflect the actual clinical trajectory. The model has access to the full 80-file chart. Evaluate the progress note against the golden answer and the source chart files. Do not rely on the model's own claims about what it identified or corrected.</w:t>
      </w:r>
    </w:p>
    <w:p>
      <w:r>
        <w:t>── GOLDEN ANSWER</w:t>
        <w:br/>
        <w:t>Open 2_Golden_Answer_T1_Progress_Note.docx before grading. This is an example of a correct answer for this task. Use it as your benchmark across the sections below.</w:t>
      </w:r>
    </w:p>
    <w:p>
      <w:r>
        <w:t>── A) CLINICAL REASONING — MUST BE PRESENT AND CORRECT</w:t>
        <w:br/>
        <w:t>What matters here is whether the model can look past three conflicting specialist assessments to identify the diagnosis none of them reached. Neurology diagnosed metabolic encephalopathy without reviewing the medication administration record. Cardiology attributed the confusion to the embolic infarcts on MRI. The attending copied forward "improving on appropriate therapy" for five days while creatinine was rising. The golden answer identifies the pharmacologic cause by making the causal attribution of AMS and myoclonus to cefepime accumulation that no consultant made explicit. The ID final note (Att-56) names the supratherapeutic cefepime exposure, nephrology (Att-35) flags renally cleared medications for dose review, and the formulary (Pol-03) warns of cefepime CNS toxicity. Citing these as supporting evidence is expected and acceptable. What the consultants did not do is connect the dosing failure to this patient's AMS and myoclonus. That connection is the core of the task. A model that reaches the same conclusion through different evidence or emphasis should not be penalized. A model that accepts any single consultant's framing without checking it against the primary data has missed the point. The note must identify that cefepime was administered at a dose exceeding renal dosing guidelines during progressive AKI, and must link that dosing to the patient's neurologic presentation. The model does not need to show calculations, but the causal attribution must be recognized as clinically significant, not mentioned in passing.</w:t>
      </w:r>
    </w:p>
    <w:p>
      <w:r>
        <w:t>── B) SCOPE AND FORMAT</w:t>
        <w:br/>
        <w:t>This is a progress note. Penalize meaningfully for: reproducing a consultant's assessment as the working diagnosis without independent verification; omitting the discharge plan when the patient is going home today; writing a case summary or literature review instead of a clinical note. Do not penalize for formatting choices, problem ordering, section headers, or prose style.</w:t>
      </w:r>
    </w:p>
    <w:p>
      <w:r>
        <w:t>── C) GOOD PRACTICE — SHOWN IN GOLDEN ANSWER, NOT REQUIRED</w:t>
        <w:br/>
        <w:t>Credit where present; do not penalize for absence. Independent renal function calculations at multiple timepoints. Reconciliation of why each consultant's framing is incomplete. Identification of documentation gaps including the auto-generated discharge medication list and the unreconciled paper MAR. Noting that meropenem may need dose adjustment as CrCl improves toward discharge (CrCl ~25 at HD10 vs ~32 at HD14). Explicit reconciliation of the paper MAR from the EMR downtime period against electronic records.</w:t>
      </w:r>
    </w:p>
    <w:p>
      <w:r>
        <w:t>── D) KNOWN ERRORS — PENALIZE FOR</w:t>
        <w:br/>
        <w:t>Models accept a single consultant's framing without verifying against primary data. The neurology note was written without reviewing the medication administration record. The cardiology note attributes altered mental status to a finding that does not explain the full clinical picture. The attending's progress notes repeat the same assessment for five consecutive days while objective data was changing. Models that reproduce any of these as current clinical truth have not performed the independent analysis the task requires. Models that use the admission lab value as baseline rather than the documented prior value will underestimate a key complication. The chart contains two notes from the same consulting service that directly contradict each other — the final supersedes the preliminary. Specifically: models that use admission Cr 1.4 instead of true baseline 1.2 (Att-01, 2019 discharge) understate AKI severity, cross a CKD stage boundary (Stage 2 vs 3a), and soften the dosing failure narrative. Models that attribute altered mental status or myoclonus to heparin (started HD7, same day as myoclonus onset) are making a pharmacologic error: heparin has no direct CNS toxicity, does not cause encephalopathy or myoclonus, and the temporal correlation is coincidental. Myoclonus persisted while heparin continued through HD7-10 and resolved when cefepime was discontinued on HD10; the temporal pattern fits cefepime accumulation, not heparin initiation. Pharmacokinetic context for graders: cefepime is approximately 85% renally cleared unchanged. At CrCl ~21 (HD7 peak AKI), the elimination half-life approximately triples from ~2 hours to ~5-6 hours, causing progressive CNS accumulation. Cefepime acts as a competitive GABA-A receptor antagonist, producing the classic neurotoxicity triad of encephalopathy, myoclonus, and seizures (FDA Safety Communication 2012, updated 2016).</w:t>
      </w:r>
    </w:p>
    <w:p>
      <w:r>
        <w:t>── SCORING</w:t>
        <w:br/>
        <w:t>Provide a single score between 0 and 1 with reasoning.</w:t>
        <w:br/>
        <w:t>Format: &lt;reasoning&gt;...&lt;/reasoning&gt;&lt;score&gt;...&lt;/score&gt;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